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C0" w:rsidRPr="00B86DC0" w:rsidRDefault="00FC68A8" w:rsidP="00B86DC0">
      <w:pPr>
        <w:spacing w:after="0"/>
        <w:rPr>
          <w:lang w:val="en-US"/>
        </w:rPr>
      </w:pPr>
      <w:r>
        <w:rPr>
          <w:noProof/>
          <w:lang w:val="ro-RO" w:eastAsia="ro-RO"/>
        </w:rPr>
        <w:drawing>
          <wp:anchor distT="0" distB="0" distL="114300" distR="114300" simplePos="0" relativeHeight="251659264" behindDoc="0" locked="0" layoutInCell="1" allowOverlap="1">
            <wp:simplePos x="0" y="0"/>
            <wp:positionH relativeFrom="page">
              <wp:posOffset>3442970</wp:posOffset>
            </wp:positionH>
            <wp:positionV relativeFrom="paragraph">
              <wp:posOffset>-72390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anchor>
        </w:drawing>
      </w:r>
      <w:r w:rsidR="00DA61D8">
        <w:rPr>
          <w:lang w:val="ro-RO"/>
        </w:rPr>
        <w:t xml:space="preserve"> </w:t>
      </w:r>
      <w:r w:rsidR="00B86DC0" w:rsidRPr="001A06AF">
        <w:rPr>
          <w:lang w:val="ro-RO"/>
        </w:rPr>
        <w:t xml:space="preserve">REPUBLICA  MOLDOVA           </w:t>
      </w:r>
      <w:r w:rsidR="00DA61D8">
        <w:rPr>
          <w:lang w:val="ro-RO"/>
        </w:rPr>
        <w:t xml:space="preserve">        </w:t>
      </w:r>
      <w:r w:rsidR="00B86DC0" w:rsidRPr="001A06AF">
        <w:rPr>
          <w:lang w:val="ro-RO"/>
        </w:rPr>
        <w:t xml:space="preserve"> </w:t>
      </w:r>
      <w:r w:rsidR="00B86DC0">
        <w:rPr>
          <w:lang w:val="ro-RO"/>
        </w:rPr>
        <w:t xml:space="preserve">           </w:t>
      </w:r>
      <w:r w:rsidR="00B86DC0" w:rsidRPr="001A06AF">
        <w:rPr>
          <w:lang w:val="ro-RO"/>
        </w:rPr>
        <w:t xml:space="preserve">     </w:t>
      </w:r>
      <w:r w:rsidR="00B86DC0">
        <w:rPr>
          <w:lang w:val="ro-RO"/>
        </w:rPr>
        <w:t xml:space="preserve">     </w:t>
      </w:r>
      <w:r w:rsidR="00B86DC0" w:rsidRPr="001A06AF">
        <w:rPr>
          <w:lang w:val="ro-RO"/>
        </w:rPr>
        <w:t xml:space="preserve">                                               </w:t>
      </w:r>
      <w:r w:rsidR="00DA61D8">
        <w:rPr>
          <w:lang w:val="ro-RO"/>
        </w:rPr>
        <w:t xml:space="preserve">   </w:t>
      </w:r>
      <w:r w:rsidR="00B86DC0" w:rsidRPr="001A06AF">
        <w:rPr>
          <w:lang w:val="ro-RO"/>
        </w:rPr>
        <w:t xml:space="preserve"> </w:t>
      </w:r>
      <w:r w:rsidR="00B86DC0">
        <w:rPr>
          <w:lang w:val="ro-RO"/>
        </w:rPr>
        <w:t xml:space="preserve">  </w:t>
      </w:r>
      <w:r w:rsidR="00B86DC0" w:rsidRPr="001A06AF">
        <w:rPr>
          <w:lang w:val="ro-RO"/>
        </w:rPr>
        <w:t>Peспублика     Молдова</w:t>
      </w:r>
    </w:p>
    <w:p w:rsidR="00B86DC0" w:rsidRPr="001A06AF" w:rsidRDefault="00B86DC0" w:rsidP="00B86DC0">
      <w:pPr>
        <w:spacing w:after="0"/>
        <w:jc w:val="both"/>
        <w:rPr>
          <w:lang w:val="ro-RO"/>
        </w:rPr>
      </w:pPr>
      <w:r w:rsidRPr="001A06AF">
        <w:rPr>
          <w:lang w:val="ro-RO"/>
        </w:rPr>
        <w:t xml:space="preserve">Consiliul Sătesc COJUŞNA   </w:t>
      </w:r>
      <w:r w:rsidR="00DA61D8">
        <w:rPr>
          <w:lang w:val="ro-RO"/>
        </w:rPr>
        <w:t xml:space="preserve">           </w:t>
      </w:r>
      <w:r>
        <w:rPr>
          <w:lang w:val="ro-RO"/>
        </w:rPr>
        <w:t xml:space="preserve">    </w:t>
      </w:r>
      <w:r w:rsidRPr="001A06AF">
        <w:rPr>
          <w:lang w:val="ro-RO"/>
        </w:rPr>
        <w:t xml:space="preserve">    </w:t>
      </w:r>
      <w:r>
        <w:rPr>
          <w:lang w:val="ro-RO"/>
        </w:rPr>
        <w:t xml:space="preserve">             </w:t>
      </w:r>
      <w:r w:rsidRPr="001A06AF">
        <w:rPr>
          <w:lang w:val="ro-RO"/>
        </w:rPr>
        <w:t xml:space="preserve">                                                     Сельский Совет КОЖУШНА</w:t>
      </w:r>
    </w:p>
    <w:p w:rsidR="00B86DC0" w:rsidRPr="001A06AF" w:rsidRDefault="00B86DC0" w:rsidP="00B86DC0">
      <w:pPr>
        <w:spacing w:after="0"/>
        <w:jc w:val="both"/>
        <w:rPr>
          <w:lang w:val="ro-RO"/>
        </w:rPr>
      </w:pPr>
      <w:r w:rsidRPr="001A06AF">
        <w:rPr>
          <w:lang w:val="ro-RO"/>
        </w:rPr>
        <w:t xml:space="preserve">       Raionul Străşeni               </w:t>
      </w:r>
      <w:r w:rsidR="00DA61D8">
        <w:rPr>
          <w:lang w:val="ro-RO"/>
        </w:rPr>
        <w:t xml:space="preserve">          </w:t>
      </w:r>
      <w:r w:rsidRPr="001A06AF">
        <w:rPr>
          <w:lang w:val="ro-RO"/>
        </w:rPr>
        <w:t xml:space="preserve">         </w:t>
      </w:r>
      <w:r>
        <w:rPr>
          <w:lang w:val="ro-RO"/>
        </w:rPr>
        <w:t xml:space="preserve">      </w:t>
      </w:r>
      <w:r w:rsidRPr="001A06AF">
        <w:rPr>
          <w:lang w:val="ro-RO"/>
        </w:rPr>
        <w:t xml:space="preserve">                                                                Страшенский район</w:t>
      </w:r>
    </w:p>
    <w:p w:rsidR="00B86DC0" w:rsidRDefault="00B86DC0" w:rsidP="00B86DC0">
      <w:pPr>
        <w:spacing w:after="0"/>
        <w:jc w:val="both"/>
        <w:rPr>
          <w:sz w:val="28"/>
          <w:szCs w:val="28"/>
          <w:lang w:val="ro-RO"/>
        </w:rPr>
      </w:pPr>
      <w:r w:rsidRPr="001A06AF">
        <w:rPr>
          <w:lang w:val="ro-RO"/>
        </w:rPr>
        <w:t xml:space="preserve">           PRIMĂRIA               </w:t>
      </w:r>
      <w:r>
        <w:rPr>
          <w:lang w:val="ro-RO"/>
        </w:rPr>
        <w:t xml:space="preserve">          </w:t>
      </w:r>
      <w:r w:rsidRPr="001A06AF">
        <w:rPr>
          <w:lang w:val="ro-RO"/>
        </w:rPr>
        <w:t xml:space="preserve">                                                                               </w:t>
      </w:r>
      <w:r w:rsidR="00DA61D8">
        <w:rPr>
          <w:lang w:val="ro-RO"/>
        </w:rPr>
        <w:t xml:space="preserve">           </w:t>
      </w:r>
      <w:r w:rsidRPr="001A06AF">
        <w:rPr>
          <w:lang w:val="ro-RO"/>
        </w:rPr>
        <w:t xml:space="preserve">     Примэрия</w:t>
      </w:r>
    </w:p>
    <w:p w:rsidR="00B86DC0" w:rsidRDefault="00B86DC0" w:rsidP="00B86DC0">
      <w:pPr>
        <w:jc w:val="both"/>
        <w:rPr>
          <w:b/>
          <w:sz w:val="28"/>
          <w:szCs w:val="28"/>
          <w:lang w:val="ro-RO"/>
        </w:rPr>
      </w:pPr>
    </w:p>
    <w:p w:rsidR="00FC68A8" w:rsidRDefault="00DA4732" w:rsidP="00DA4732">
      <w:pPr>
        <w:spacing w:after="0"/>
        <w:jc w:val="right"/>
        <w:rPr>
          <w:rFonts w:ascii="Times New Roman" w:hAnsi="Times New Roman" w:cs="Times New Roman"/>
          <w:b/>
          <w:sz w:val="28"/>
          <w:szCs w:val="28"/>
          <w:lang w:val="ro-RO"/>
        </w:rPr>
      </w:pPr>
      <w:r>
        <w:rPr>
          <w:rFonts w:ascii="Times New Roman" w:hAnsi="Times New Roman" w:cs="Times New Roman"/>
          <w:b/>
          <w:sz w:val="28"/>
          <w:szCs w:val="28"/>
          <w:lang w:val="ro-RO"/>
        </w:rPr>
        <w:t>Proiect</w:t>
      </w:r>
    </w:p>
    <w:p w:rsidR="00B86DC0" w:rsidRPr="00B86DC0" w:rsidRDefault="00B86DC0" w:rsidP="00B86DC0">
      <w:pPr>
        <w:spacing w:after="0"/>
        <w:jc w:val="center"/>
        <w:rPr>
          <w:rFonts w:ascii="Times New Roman" w:hAnsi="Times New Roman" w:cs="Times New Roman"/>
          <w:b/>
          <w:sz w:val="28"/>
          <w:szCs w:val="28"/>
          <w:lang w:val="ro-RO"/>
        </w:rPr>
      </w:pPr>
      <w:bookmarkStart w:id="0" w:name="_GoBack"/>
      <w:bookmarkEnd w:id="0"/>
      <w:r w:rsidRPr="00B86DC0">
        <w:rPr>
          <w:rFonts w:ascii="Times New Roman" w:hAnsi="Times New Roman" w:cs="Times New Roman"/>
          <w:b/>
          <w:sz w:val="28"/>
          <w:szCs w:val="28"/>
          <w:lang w:val="ro-RO"/>
        </w:rPr>
        <w:t xml:space="preserve">DECIZIE nr. </w:t>
      </w:r>
      <w:r w:rsidR="008B1F29">
        <w:rPr>
          <w:rFonts w:ascii="Times New Roman" w:hAnsi="Times New Roman" w:cs="Times New Roman"/>
          <w:b/>
          <w:sz w:val="28"/>
          <w:szCs w:val="28"/>
          <w:lang w:val="ro-RO"/>
        </w:rPr>
        <w:t>10</w:t>
      </w:r>
      <w:r w:rsidR="00A8365B">
        <w:rPr>
          <w:rFonts w:ascii="Times New Roman" w:hAnsi="Times New Roman" w:cs="Times New Roman"/>
          <w:b/>
          <w:sz w:val="28"/>
          <w:szCs w:val="28"/>
          <w:lang w:val="ro-RO"/>
        </w:rPr>
        <w:t>.3</w:t>
      </w:r>
    </w:p>
    <w:p w:rsidR="00B86DC0" w:rsidRDefault="00B502C0" w:rsidP="00B86DC0">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din </w:t>
      </w:r>
      <w:r w:rsidR="00A8365B">
        <w:rPr>
          <w:rFonts w:ascii="Times New Roman" w:hAnsi="Times New Roman" w:cs="Times New Roman"/>
          <w:b/>
          <w:sz w:val="28"/>
          <w:szCs w:val="28"/>
          <w:lang w:val="ro-RO"/>
        </w:rPr>
        <w:t>12</w:t>
      </w:r>
      <w:r w:rsidR="0049392D">
        <w:rPr>
          <w:rFonts w:ascii="Times New Roman" w:hAnsi="Times New Roman" w:cs="Times New Roman"/>
          <w:b/>
          <w:sz w:val="28"/>
          <w:szCs w:val="28"/>
          <w:lang w:val="ro-RO"/>
        </w:rPr>
        <w:t>.12.2019</w:t>
      </w:r>
    </w:p>
    <w:p w:rsidR="00DA61D8" w:rsidRPr="00B86DC0" w:rsidRDefault="00DA61D8" w:rsidP="00B86DC0">
      <w:pPr>
        <w:spacing w:after="0"/>
        <w:jc w:val="center"/>
        <w:rPr>
          <w:rFonts w:ascii="Times New Roman" w:hAnsi="Times New Roman" w:cs="Times New Roman"/>
          <w:b/>
          <w:sz w:val="28"/>
          <w:szCs w:val="28"/>
          <w:lang w:val="ro-RO"/>
        </w:rPr>
      </w:pPr>
    </w:p>
    <w:p w:rsidR="00B86DC0" w:rsidRDefault="00BA331C" w:rsidP="00935A83">
      <w:pPr>
        <w:spacing w:after="0" w:line="240" w:lineRule="auto"/>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Cu</w:t>
      </w:r>
      <w:r w:rsidRPr="00B86DC0">
        <w:rPr>
          <w:rFonts w:ascii="Times New Roman" w:hAnsi="Times New Roman" w:cs="Times New Roman"/>
          <w:b/>
          <w:sz w:val="28"/>
          <w:szCs w:val="28"/>
          <w:lang w:val="ro-RO"/>
        </w:rPr>
        <w:t xml:space="preserve"> </w:t>
      </w:r>
      <w:r w:rsidRPr="00B86DC0">
        <w:rPr>
          <w:rFonts w:ascii="Times New Roman" w:hAnsi="Times New Roman" w:cs="Times New Roman"/>
          <w:sz w:val="28"/>
          <w:szCs w:val="28"/>
          <w:lang w:val="ro-RO"/>
        </w:rPr>
        <w:t>privire la stabilirea cotelor</w:t>
      </w:r>
      <w:r w:rsidR="00B86DC0">
        <w:rPr>
          <w:rFonts w:ascii="Times New Roman" w:hAnsi="Times New Roman" w:cs="Times New Roman"/>
          <w:sz w:val="28"/>
          <w:szCs w:val="28"/>
          <w:lang w:val="ro-RO"/>
        </w:rPr>
        <w:t xml:space="preserve"> i</w:t>
      </w:r>
      <w:r w:rsidRPr="00B86DC0">
        <w:rPr>
          <w:rFonts w:ascii="Times New Roman" w:hAnsi="Times New Roman" w:cs="Times New Roman"/>
          <w:sz w:val="28"/>
          <w:szCs w:val="28"/>
          <w:lang w:val="ro-RO"/>
        </w:rPr>
        <w:t xml:space="preserve">mpozitului </w:t>
      </w:r>
    </w:p>
    <w:p w:rsidR="00BA331C" w:rsidRPr="00B86DC0" w:rsidRDefault="00BA331C" w:rsidP="00935A83">
      <w:pPr>
        <w:spacing w:after="0" w:line="240" w:lineRule="auto"/>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pe bunurile imobiliare și </w:t>
      </w:r>
      <w:r w:rsidR="00B86DC0">
        <w:rPr>
          <w:rFonts w:ascii="Times New Roman" w:hAnsi="Times New Roman" w:cs="Times New Roman"/>
          <w:sz w:val="28"/>
          <w:szCs w:val="28"/>
          <w:lang w:val="ro-RO"/>
        </w:rPr>
        <w:t>i</w:t>
      </w:r>
      <w:r w:rsidRPr="00B86DC0">
        <w:rPr>
          <w:rFonts w:ascii="Times New Roman" w:hAnsi="Times New Roman" w:cs="Times New Roman"/>
          <w:sz w:val="28"/>
          <w:szCs w:val="28"/>
          <w:lang w:val="ro-RO"/>
        </w:rPr>
        <w:t>mpozitului funciar</w:t>
      </w:r>
    </w:p>
    <w:p w:rsidR="00BA331C" w:rsidRPr="00B86DC0" w:rsidRDefault="00B86DC0" w:rsidP="00935A8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pentru </w:t>
      </w:r>
      <w:r w:rsidR="00B502C0">
        <w:rPr>
          <w:rFonts w:ascii="Times New Roman" w:hAnsi="Times New Roman" w:cs="Times New Roman"/>
          <w:sz w:val="28"/>
          <w:szCs w:val="28"/>
          <w:lang w:val="ro-RO"/>
        </w:rPr>
        <w:t>anul 2020</w:t>
      </w:r>
    </w:p>
    <w:p w:rsidR="00BA331C" w:rsidRPr="00B86DC0" w:rsidRDefault="00BA331C" w:rsidP="00935A83">
      <w:pPr>
        <w:spacing w:line="240" w:lineRule="auto"/>
        <w:jc w:val="both"/>
        <w:rPr>
          <w:rFonts w:ascii="Times New Roman" w:hAnsi="Times New Roman" w:cs="Times New Roman"/>
          <w:sz w:val="28"/>
          <w:szCs w:val="28"/>
          <w:lang w:val="ro-RO"/>
        </w:rPr>
      </w:pPr>
    </w:p>
    <w:p w:rsidR="00BA331C" w:rsidRPr="00B86DC0" w:rsidRDefault="00BA331C" w:rsidP="00935A83">
      <w:pPr>
        <w:spacing w:line="240" w:lineRule="auto"/>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   </w:t>
      </w:r>
      <w:r w:rsidR="00B86DC0">
        <w:rPr>
          <w:rFonts w:ascii="Times New Roman" w:hAnsi="Times New Roman" w:cs="Times New Roman"/>
          <w:sz w:val="28"/>
          <w:szCs w:val="28"/>
          <w:lang w:val="ro-RO"/>
        </w:rPr>
        <w:t xml:space="preserve">            </w:t>
      </w:r>
      <w:r w:rsidRPr="00B86DC0">
        <w:rPr>
          <w:rFonts w:ascii="Times New Roman" w:hAnsi="Times New Roman" w:cs="Times New Roman"/>
          <w:sz w:val="28"/>
          <w:szCs w:val="28"/>
          <w:lang w:val="ro-RO"/>
        </w:rPr>
        <w:t>În conformitate cu titlul VI din Codul fiscal, aprobat prin Legea nr. 1163- XIII din 24.04.1997; Legea pentru punere în aplicare a titlului VI din Codul fiscal nr. 1056-XV din 16 iunie</w:t>
      </w:r>
      <w:r w:rsidR="0018656E" w:rsidRPr="00B86DC0">
        <w:rPr>
          <w:rFonts w:ascii="Times New Roman" w:hAnsi="Times New Roman" w:cs="Times New Roman"/>
          <w:sz w:val="28"/>
          <w:szCs w:val="28"/>
          <w:lang w:val="ro-RO"/>
        </w:rPr>
        <w:t xml:space="preserve"> 2000, cu modificările și completările ulterioare; Legea privind administrația publică locală nr. 436-XVI din 28.12.2006; Legea finanțelor publi</w:t>
      </w:r>
      <w:r w:rsidR="00887AD8" w:rsidRPr="00B86DC0">
        <w:rPr>
          <w:rFonts w:ascii="Times New Roman" w:hAnsi="Times New Roman" w:cs="Times New Roman"/>
          <w:sz w:val="28"/>
          <w:szCs w:val="28"/>
          <w:lang w:val="ro-RO"/>
        </w:rPr>
        <w:t>ce și responsabilității bugetar fiscale nr. 181 din 25.07.2014; Legea privind finanțele publice locale nr.</w:t>
      </w:r>
      <w:r w:rsidR="00FC68A8">
        <w:rPr>
          <w:rFonts w:ascii="Times New Roman" w:hAnsi="Times New Roman" w:cs="Times New Roman"/>
          <w:sz w:val="28"/>
          <w:szCs w:val="28"/>
          <w:lang w:val="ro-RO"/>
        </w:rPr>
        <w:t xml:space="preserve"> </w:t>
      </w:r>
      <w:r w:rsidR="00887AD8" w:rsidRPr="00B86DC0">
        <w:rPr>
          <w:rFonts w:ascii="Times New Roman" w:hAnsi="Times New Roman" w:cs="Times New Roman"/>
          <w:sz w:val="28"/>
          <w:szCs w:val="28"/>
          <w:lang w:val="ro-RO"/>
        </w:rPr>
        <w:t>397-XV din 16.10.2003; Legea cu privire la datoria sectorului public, garanțiile de stat și</w:t>
      </w:r>
      <w:r w:rsidR="007B43CC">
        <w:rPr>
          <w:rFonts w:ascii="Times New Roman" w:hAnsi="Times New Roman" w:cs="Times New Roman"/>
          <w:sz w:val="28"/>
          <w:szCs w:val="28"/>
          <w:lang w:val="ro-RO"/>
        </w:rPr>
        <w:t xml:space="preserve"> </w:t>
      </w:r>
      <w:r w:rsidR="00887AD8" w:rsidRPr="00B86DC0">
        <w:rPr>
          <w:rFonts w:ascii="Times New Roman" w:hAnsi="Times New Roman" w:cs="Times New Roman"/>
          <w:sz w:val="28"/>
          <w:szCs w:val="28"/>
          <w:lang w:val="ro-RO"/>
        </w:rPr>
        <w:t>recreditarea de stat nr. 419-XVI din 22.12.2006, Consiliul local aprobă cotele concrete la impozitul pe bunurile imobiliare și impozitul funciar, după cum urmează:</w:t>
      </w:r>
    </w:p>
    <w:p w:rsidR="00FC68A8" w:rsidRPr="00FC68A8" w:rsidRDefault="00FC68A8" w:rsidP="00FC68A8">
      <w:pPr>
        <w:ind w:left="-360" w:firstLine="360"/>
        <w:jc w:val="both"/>
        <w:rPr>
          <w:rFonts w:ascii="Times New Roman" w:hAnsi="Times New Roman" w:cs="Times New Roman"/>
          <w:lang w:val="ro-RO"/>
        </w:rPr>
      </w:pPr>
      <w:r w:rsidRPr="00FC68A8">
        <w:rPr>
          <w:rFonts w:ascii="Times New Roman" w:hAnsi="Times New Roman" w:cs="Times New Roman"/>
          <w:b/>
          <w:sz w:val="28"/>
          <w:szCs w:val="28"/>
          <w:lang w:val="ro-RO"/>
        </w:rPr>
        <w:t>Consiliul sătesc DECIDE:</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Începâ</w:t>
      </w:r>
      <w:r w:rsidRPr="00FC68A8">
        <w:rPr>
          <w:rFonts w:ascii="Times New Roman" w:hAnsi="Times New Roman" w:cs="Times New Roman"/>
          <w:sz w:val="28"/>
          <w:szCs w:val="28"/>
          <w:lang w:val="ro-RO"/>
        </w:rPr>
        <w:t xml:space="preserve">nd cu </w:t>
      </w:r>
      <w:r w:rsidRPr="00FC68A8">
        <w:rPr>
          <w:rFonts w:ascii="Times New Roman" w:hAnsi="Times New Roman" w:cs="Times New Roman"/>
          <w:b/>
          <w:sz w:val="28"/>
          <w:szCs w:val="28"/>
          <w:lang w:val="ro-RO"/>
        </w:rPr>
        <w:t>01 ianuarie</w:t>
      </w:r>
      <w:r>
        <w:rPr>
          <w:rFonts w:ascii="Times New Roman" w:hAnsi="Times New Roman" w:cs="Times New Roman"/>
          <w:b/>
          <w:sz w:val="28"/>
          <w:szCs w:val="28"/>
          <w:lang w:val="ro-RO"/>
        </w:rPr>
        <w:t xml:space="preserve"> </w:t>
      </w:r>
      <w:r w:rsidRPr="00FC68A8">
        <w:rPr>
          <w:rFonts w:ascii="Times New Roman" w:hAnsi="Times New Roman" w:cs="Times New Roman"/>
          <w:b/>
          <w:sz w:val="28"/>
          <w:szCs w:val="28"/>
          <w:lang w:val="ro-RO"/>
        </w:rPr>
        <w:t>20</w:t>
      </w:r>
      <w:r w:rsidR="00B502C0">
        <w:rPr>
          <w:rFonts w:ascii="Times New Roman" w:hAnsi="Times New Roman" w:cs="Times New Roman"/>
          <w:b/>
          <w:sz w:val="28"/>
          <w:szCs w:val="28"/>
          <w:lang w:val="ro-RO"/>
        </w:rPr>
        <w:t>20</w:t>
      </w:r>
      <w:r w:rsidRPr="00FC68A8">
        <w:rPr>
          <w:rFonts w:ascii="Times New Roman" w:hAnsi="Times New Roman" w:cs="Times New Roman"/>
          <w:b/>
          <w:sz w:val="28"/>
          <w:szCs w:val="28"/>
          <w:lang w:val="ro-RO"/>
        </w:rPr>
        <w:t xml:space="preserve">, </w:t>
      </w:r>
      <w:r w:rsidRPr="0083694D">
        <w:rPr>
          <w:rFonts w:ascii="Times New Roman" w:hAnsi="Times New Roman" w:cs="Times New Roman"/>
          <w:sz w:val="28"/>
          <w:szCs w:val="28"/>
          <w:lang w:val="ro-RO"/>
        </w:rPr>
        <w:t>s</w:t>
      </w:r>
      <w:r w:rsidR="00E95FFC" w:rsidRPr="0083694D">
        <w:rPr>
          <w:rFonts w:ascii="Times New Roman" w:hAnsi="Times New Roman" w:cs="Times New Roman"/>
          <w:sz w:val="28"/>
          <w:szCs w:val="28"/>
          <w:lang w:val="ro-RO"/>
        </w:rPr>
        <w:t>e</w:t>
      </w:r>
      <w:r w:rsidR="00E95FFC">
        <w:rPr>
          <w:rFonts w:ascii="Times New Roman" w:hAnsi="Times New Roman" w:cs="Times New Roman"/>
          <w:sz w:val="28"/>
          <w:szCs w:val="28"/>
          <w:lang w:val="ro-RO"/>
        </w:rPr>
        <w:t xml:space="preserve"> stabilesc</w:t>
      </w:r>
      <w:r>
        <w:rPr>
          <w:rFonts w:ascii="Times New Roman" w:hAnsi="Times New Roman" w:cs="Times New Roman"/>
          <w:sz w:val="28"/>
          <w:szCs w:val="28"/>
          <w:lang w:val="ro-RO"/>
        </w:rPr>
        <w:t xml:space="preserve"> ș</w:t>
      </w:r>
      <w:r w:rsidRPr="00FC68A8">
        <w:rPr>
          <w:rFonts w:ascii="Times New Roman" w:hAnsi="Times New Roman" w:cs="Times New Roman"/>
          <w:sz w:val="28"/>
          <w:szCs w:val="28"/>
          <w:lang w:val="ro-RO"/>
        </w:rPr>
        <w:t xml:space="preserve">i se pun în aplicare, în teritoriul </w:t>
      </w:r>
      <w:r>
        <w:rPr>
          <w:rFonts w:ascii="Times New Roman" w:hAnsi="Times New Roman" w:cs="Times New Roman"/>
          <w:sz w:val="28"/>
          <w:szCs w:val="28"/>
          <w:lang w:val="ro-RO"/>
        </w:rPr>
        <w:t>s.</w:t>
      </w:r>
      <w:r w:rsidRPr="00FC68A8">
        <w:rPr>
          <w:rFonts w:ascii="Times New Roman" w:hAnsi="Times New Roman" w:cs="Times New Roman"/>
          <w:sz w:val="28"/>
          <w:szCs w:val="28"/>
          <w:lang w:val="ro-RO"/>
        </w:rPr>
        <w:t xml:space="preserve"> Coju</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na, r-nul Stră</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eni, cotele impozit</w:t>
      </w:r>
      <w:r>
        <w:rPr>
          <w:rFonts w:ascii="Times New Roman" w:hAnsi="Times New Roman" w:cs="Times New Roman"/>
          <w:sz w:val="28"/>
          <w:szCs w:val="28"/>
          <w:lang w:val="ro-RO"/>
        </w:rPr>
        <w:t>e</w:t>
      </w:r>
      <w:r w:rsidRPr="00FC68A8">
        <w:rPr>
          <w:rFonts w:ascii="Times New Roman" w:hAnsi="Times New Roman" w:cs="Times New Roman"/>
          <w:sz w:val="28"/>
          <w:szCs w:val="28"/>
          <w:lang w:val="ro-RO"/>
        </w:rPr>
        <w:t>l</w:t>
      </w:r>
      <w:r>
        <w:rPr>
          <w:rFonts w:ascii="Times New Roman" w:hAnsi="Times New Roman" w:cs="Times New Roman"/>
          <w:sz w:val="28"/>
          <w:szCs w:val="28"/>
          <w:lang w:val="ro-RO"/>
        </w:rPr>
        <w:t xml:space="preserve">or </w:t>
      </w:r>
      <w:r w:rsidR="00E95FFC" w:rsidRPr="00FC68A8">
        <w:rPr>
          <w:rFonts w:ascii="Times New Roman" w:hAnsi="Times New Roman" w:cs="Times New Roman"/>
          <w:sz w:val="28"/>
          <w:szCs w:val="28"/>
          <w:lang w:val="ro-RO"/>
        </w:rPr>
        <w:t>pe bunurile imobiliare</w:t>
      </w:r>
      <w:r w:rsidR="00E95FFC">
        <w:rPr>
          <w:rFonts w:ascii="Times New Roman" w:hAnsi="Times New Roman" w:cs="Times New Roman"/>
          <w:sz w:val="28"/>
          <w:szCs w:val="28"/>
          <w:lang w:val="ro-RO"/>
        </w:rPr>
        <w:t xml:space="preserve">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i</w:t>
      </w:r>
      <w:r w:rsidR="00E95FFC" w:rsidRPr="00E95FFC">
        <w:rPr>
          <w:rFonts w:ascii="Times New Roman" w:hAnsi="Times New Roman" w:cs="Times New Roman"/>
          <w:sz w:val="28"/>
          <w:szCs w:val="28"/>
          <w:lang w:val="ro-RO"/>
        </w:rPr>
        <w:t xml:space="preserve"> </w:t>
      </w:r>
      <w:r w:rsidR="00E95FFC">
        <w:rPr>
          <w:rFonts w:ascii="Times New Roman" w:hAnsi="Times New Roman" w:cs="Times New Roman"/>
          <w:sz w:val="28"/>
          <w:szCs w:val="28"/>
          <w:lang w:val="ro-RO"/>
        </w:rPr>
        <w:t>funciar</w:t>
      </w:r>
      <w:r w:rsidRPr="00FC68A8">
        <w:rPr>
          <w:rFonts w:ascii="Times New Roman" w:hAnsi="Times New Roman" w:cs="Times New Roman"/>
          <w:sz w:val="28"/>
          <w:szCs w:val="28"/>
          <w:lang w:val="ro-RO"/>
        </w:rPr>
        <w:t>, conform anexe</w:t>
      </w:r>
      <w:r>
        <w:rPr>
          <w:rFonts w:ascii="Times New Roman" w:hAnsi="Times New Roman" w:cs="Times New Roman"/>
          <w:sz w:val="28"/>
          <w:szCs w:val="28"/>
          <w:lang w:val="ro-RO"/>
        </w:rPr>
        <w:t xml:space="preserve">i nr. 1 </w:t>
      </w:r>
      <w:r w:rsidRPr="00FC68A8">
        <w:rPr>
          <w:rFonts w:ascii="Times New Roman" w:hAnsi="Times New Roman" w:cs="Times New Roman"/>
          <w:sz w:val="28"/>
          <w:szCs w:val="28"/>
          <w:lang w:val="ro-RO"/>
        </w:rPr>
        <w:t>la decizia în cauză.</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sidRPr="00FC68A8">
        <w:rPr>
          <w:rFonts w:ascii="Times New Roman" w:hAnsi="Times New Roman" w:cs="Times New Roman"/>
          <w:sz w:val="28"/>
          <w:szCs w:val="28"/>
          <w:lang w:val="ro-RO"/>
        </w:rPr>
        <w:t>Prezenta decizie int</w:t>
      </w:r>
      <w:r w:rsidR="00B502C0">
        <w:rPr>
          <w:rFonts w:ascii="Times New Roman" w:hAnsi="Times New Roman" w:cs="Times New Roman"/>
          <w:sz w:val="28"/>
          <w:szCs w:val="28"/>
          <w:lang w:val="ro-RO"/>
        </w:rPr>
        <w:t>ră în vigoare, la data 01.01.2020</w:t>
      </w:r>
      <w:r w:rsidRPr="00FC68A8">
        <w:rPr>
          <w:rFonts w:ascii="Times New Roman" w:hAnsi="Times New Roman" w:cs="Times New Roman"/>
          <w:sz w:val="28"/>
          <w:szCs w:val="28"/>
          <w:lang w:val="ro-RO"/>
        </w:rPr>
        <w:t xml:space="preserve">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i urmează a fi adusă la cuno</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tin</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a Direc</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iei generale finan</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e a Consiliului raional, Inspectoratului Fiscal de Stat pe raionul Stră</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 xml:space="preserve">eni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 xml:space="preserve">i contribuabililor, în termen de </w:t>
      </w:r>
      <w:r w:rsidRPr="00FC68A8">
        <w:rPr>
          <w:rFonts w:ascii="Times New Roman" w:hAnsi="Times New Roman" w:cs="Times New Roman"/>
          <w:b/>
          <w:sz w:val="28"/>
          <w:szCs w:val="28"/>
          <w:lang w:val="ro-RO"/>
        </w:rPr>
        <w:t>10 zile,</w:t>
      </w:r>
      <w:r w:rsidRPr="00FC68A8">
        <w:rPr>
          <w:rFonts w:ascii="Times New Roman" w:hAnsi="Times New Roman" w:cs="Times New Roman"/>
          <w:sz w:val="28"/>
          <w:szCs w:val="28"/>
          <w:lang w:val="ro-RO"/>
        </w:rPr>
        <w:t xml:space="preserve"> din momentul adoptării, inclusiv prin afi</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 xml:space="preserve">area pe panoul </w:t>
      </w:r>
      <w:r w:rsidR="00E95FFC">
        <w:rPr>
          <w:rFonts w:ascii="Times New Roman" w:hAnsi="Times New Roman" w:cs="Times New Roman"/>
          <w:sz w:val="28"/>
          <w:szCs w:val="28"/>
          <w:lang w:val="ro-RO"/>
        </w:rPr>
        <w:t xml:space="preserve">informativ </w:t>
      </w:r>
      <w:r w:rsidRPr="00FC68A8">
        <w:rPr>
          <w:rFonts w:ascii="Times New Roman" w:hAnsi="Times New Roman" w:cs="Times New Roman"/>
          <w:sz w:val="28"/>
          <w:szCs w:val="28"/>
          <w:lang w:val="ro-RO"/>
        </w:rPr>
        <w:t>al Primăriei Coju</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na.</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sidRPr="00FC68A8">
        <w:rPr>
          <w:rFonts w:ascii="Times New Roman" w:hAnsi="Times New Roman" w:cs="Times New Roman"/>
          <w:sz w:val="28"/>
          <w:szCs w:val="28"/>
          <w:lang w:val="ro-RO"/>
        </w:rPr>
        <w:t xml:space="preserve">Responsabili pentru calcularea corectă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i achitarea, în termen, a cotelor concrete men</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 xml:space="preserve">ionate, cu eliberarea bonurilor de plată, revine plătitorilor </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i speciali</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tilor din primărie, D</w:t>
      </w:r>
      <w:r>
        <w:rPr>
          <w:rFonts w:ascii="Times New Roman" w:hAnsi="Times New Roman" w:cs="Times New Roman"/>
          <w:sz w:val="28"/>
          <w:szCs w:val="28"/>
          <w:lang w:val="ro-RO"/>
        </w:rPr>
        <w:t>-</w:t>
      </w:r>
      <w:r w:rsidRPr="00FC68A8">
        <w:rPr>
          <w:rFonts w:ascii="Times New Roman" w:hAnsi="Times New Roman" w:cs="Times New Roman"/>
          <w:sz w:val="28"/>
          <w:szCs w:val="28"/>
          <w:lang w:val="ro-RO"/>
        </w:rPr>
        <w:t>nul Tudor Pascari și Dna Olga Repeduș.</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sidRPr="00FC68A8">
        <w:rPr>
          <w:rFonts w:ascii="Times New Roman" w:hAnsi="Times New Roman" w:cs="Times New Roman"/>
          <w:sz w:val="28"/>
          <w:szCs w:val="28"/>
          <w:lang w:val="ro-RO"/>
        </w:rPr>
        <w:t>Speciali</w:t>
      </w:r>
      <w:r>
        <w:rPr>
          <w:rFonts w:ascii="Times New Roman" w:hAnsi="Times New Roman" w:cs="Times New Roman"/>
          <w:sz w:val="28"/>
          <w:szCs w:val="28"/>
          <w:lang w:val="ro-RO"/>
        </w:rPr>
        <w:t>ș</w:t>
      </w:r>
      <w:r w:rsidRPr="00FC68A8">
        <w:rPr>
          <w:rFonts w:ascii="Times New Roman" w:hAnsi="Times New Roman" w:cs="Times New Roman"/>
          <w:sz w:val="28"/>
          <w:szCs w:val="28"/>
          <w:lang w:val="ro-RO"/>
        </w:rPr>
        <w:t>tii responsabili pentru perceperea fiscală să prezinte, la cerere, consilierilor locali, informa</w:t>
      </w:r>
      <w:r>
        <w:rPr>
          <w:rFonts w:ascii="Times New Roman" w:hAnsi="Times New Roman" w:cs="Times New Roman"/>
          <w:sz w:val="28"/>
          <w:szCs w:val="28"/>
          <w:lang w:val="ro-RO"/>
        </w:rPr>
        <w:t>ț</w:t>
      </w:r>
      <w:r w:rsidRPr="00FC68A8">
        <w:rPr>
          <w:rFonts w:ascii="Times New Roman" w:hAnsi="Times New Roman" w:cs="Times New Roman"/>
          <w:sz w:val="28"/>
          <w:szCs w:val="28"/>
          <w:lang w:val="ro-RO"/>
        </w:rPr>
        <w:t>ia privind nivelul de acumulare al impozitelor.</w:t>
      </w:r>
    </w:p>
    <w:p w:rsidR="00FC68A8" w:rsidRPr="00FC68A8" w:rsidRDefault="00FC68A8" w:rsidP="00FC68A8">
      <w:pPr>
        <w:numPr>
          <w:ilvl w:val="0"/>
          <w:numId w:val="11"/>
        </w:numPr>
        <w:spacing w:after="0" w:line="240" w:lineRule="auto"/>
        <w:jc w:val="both"/>
        <w:rPr>
          <w:rFonts w:ascii="Times New Roman" w:hAnsi="Times New Roman" w:cs="Times New Roman"/>
          <w:sz w:val="28"/>
          <w:szCs w:val="28"/>
          <w:lang w:val="ro-RO"/>
        </w:rPr>
      </w:pPr>
      <w:r w:rsidRPr="00FC68A8">
        <w:rPr>
          <w:rFonts w:ascii="Times New Roman" w:hAnsi="Times New Roman" w:cs="Times New Roman"/>
          <w:sz w:val="28"/>
          <w:szCs w:val="28"/>
          <w:lang w:val="ro-RO"/>
        </w:rPr>
        <w:t>Controlul asupra executării prezentei decizii se pune în seama primarului, Dlui</w:t>
      </w:r>
      <w:r w:rsidR="0083694D">
        <w:rPr>
          <w:rFonts w:ascii="Times New Roman" w:hAnsi="Times New Roman" w:cs="Times New Roman"/>
          <w:sz w:val="28"/>
          <w:szCs w:val="28"/>
          <w:lang w:val="ro-RO"/>
        </w:rPr>
        <w:t xml:space="preserve"> Igor Crăciun</w:t>
      </w:r>
      <w:r w:rsidRPr="00FC68A8">
        <w:rPr>
          <w:rFonts w:ascii="Times New Roman" w:hAnsi="Times New Roman" w:cs="Times New Roman"/>
          <w:sz w:val="28"/>
          <w:szCs w:val="28"/>
          <w:lang w:val="ro-RO"/>
        </w:rPr>
        <w:t>.</w:t>
      </w:r>
    </w:p>
    <w:p w:rsidR="00FC68A8" w:rsidRDefault="00FC68A8" w:rsidP="00FC68A8">
      <w:pPr>
        <w:rPr>
          <w:rFonts w:ascii="Times New Roman" w:hAnsi="Times New Roman" w:cs="Times New Roman"/>
          <w:b/>
          <w:sz w:val="28"/>
          <w:szCs w:val="28"/>
          <w:lang w:val="ro-RO"/>
        </w:rPr>
      </w:pPr>
    </w:p>
    <w:p w:rsidR="00FC68A8" w:rsidRPr="00DA61D8" w:rsidRDefault="00FC68A8" w:rsidP="00FC68A8">
      <w:pPr>
        <w:rPr>
          <w:rFonts w:ascii="Times New Roman" w:hAnsi="Times New Roman" w:cs="Times New Roman"/>
          <w:b/>
          <w:sz w:val="28"/>
          <w:szCs w:val="28"/>
          <w:lang w:val="ro-RO"/>
        </w:rPr>
      </w:pPr>
      <w:r w:rsidRPr="00FC68A8">
        <w:rPr>
          <w:rFonts w:ascii="Times New Roman" w:hAnsi="Times New Roman" w:cs="Times New Roman"/>
          <w:b/>
          <w:sz w:val="28"/>
          <w:szCs w:val="28"/>
          <w:lang w:val="ro-RO"/>
        </w:rPr>
        <w:t>Pre</w:t>
      </w:r>
      <w:r>
        <w:rPr>
          <w:rFonts w:ascii="Times New Roman" w:hAnsi="Times New Roman" w:cs="Times New Roman"/>
          <w:b/>
          <w:sz w:val="28"/>
          <w:szCs w:val="28"/>
          <w:lang w:val="ro-RO"/>
        </w:rPr>
        <w:t>ș</w:t>
      </w:r>
      <w:r w:rsidRPr="00FC68A8">
        <w:rPr>
          <w:rFonts w:ascii="Times New Roman" w:hAnsi="Times New Roman" w:cs="Times New Roman"/>
          <w:b/>
          <w:sz w:val="28"/>
          <w:szCs w:val="28"/>
          <w:lang w:val="ro-RO"/>
        </w:rPr>
        <w:t xml:space="preserve">edinte al </w:t>
      </w:r>
      <w:r>
        <w:rPr>
          <w:rFonts w:ascii="Times New Roman" w:hAnsi="Times New Roman" w:cs="Times New Roman"/>
          <w:b/>
          <w:sz w:val="28"/>
          <w:szCs w:val="28"/>
          <w:lang w:val="ro-RO"/>
        </w:rPr>
        <w:t>ș</w:t>
      </w:r>
      <w:r w:rsidRPr="00FC68A8">
        <w:rPr>
          <w:rFonts w:ascii="Times New Roman" w:hAnsi="Times New Roman" w:cs="Times New Roman"/>
          <w:b/>
          <w:sz w:val="28"/>
          <w:szCs w:val="28"/>
          <w:lang w:val="ro-RO"/>
        </w:rPr>
        <w:t>edin</w:t>
      </w:r>
      <w:r>
        <w:rPr>
          <w:rFonts w:ascii="Times New Roman" w:hAnsi="Times New Roman" w:cs="Times New Roman"/>
          <w:b/>
          <w:sz w:val="28"/>
          <w:szCs w:val="28"/>
          <w:lang w:val="ro-RO"/>
        </w:rPr>
        <w:t>ț</w:t>
      </w:r>
      <w:r w:rsidRPr="00FC68A8">
        <w:rPr>
          <w:rFonts w:ascii="Times New Roman" w:hAnsi="Times New Roman" w:cs="Times New Roman"/>
          <w:b/>
          <w:sz w:val="28"/>
          <w:szCs w:val="28"/>
          <w:lang w:val="ro-RO"/>
        </w:rPr>
        <w:t xml:space="preserve">ei consiliului                                  </w:t>
      </w:r>
      <w:r w:rsidR="00DA61D8">
        <w:rPr>
          <w:rFonts w:ascii="Times New Roman" w:hAnsi="Times New Roman" w:cs="Times New Roman"/>
          <w:b/>
          <w:sz w:val="28"/>
          <w:szCs w:val="28"/>
          <w:lang w:val="ro-RO"/>
        </w:rPr>
        <w:t xml:space="preserve">            </w:t>
      </w:r>
      <w:r w:rsidRPr="00FC68A8">
        <w:rPr>
          <w:rFonts w:ascii="Times New Roman" w:hAnsi="Times New Roman" w:cs="Times New Roman"/>
          <w:b/>
          <w:sz w:val="28"/>
          <w:szCs w:val="28"/>
          <w:lang w:val="ro-RO"/>
        </w:rPr>
        <w:t xml:space="preserve">  </w:t>
      </w:r>
    </w:p>
    <w:p w:rsidR="00FC68A8" w:rsidRPr="00FC68A8" w:rsidRDefault="00FC68A8" w:rsidP="00FC68A8">
      <w:pPr>
        <w:rPr>
          <w:rFonts w:ascii="Times New Roman" w:hAnsi="Times New Roman" w:cs="Times New Roman"/>
          <w:b/>
          <w:sz w:val="28"/>
          <w:szCs w:val="28"/>
          <w:lang w:val="ro-RO"/>
        </w:rPr>
      </w:pPr>
      <w:r w:rsidRPr="00FC68A8">
        <w:rPr>
          <w:rFonts w:ascii="Times New Roman" w:hAnsi="Times New Roman" w:cs="Times New Roman"/>
          <w:b/>
          <w:sz w:val="28"/>
          <w:szCs w:val="28"/>
          <w:lang w:val="ro-RO"/>
        </w:rPr>
        <w:t>Secretar al consiliului</w:t>
      </w:r>
      <w:r w:rsidRPr="00FC68A8">
        <w:rPr>
          <w:rFonts w:ascii="Times New Roman" w:hAnsi="Times New Roman" w:cs="Times New Roman"/>
          <w:b/>
          <w:sz w:val="28"/>
          <w:szCs w:val="28"/>
          <w:lang w:val="ro-RO"/>
        </w:rPr>
        <w:tab/>
      </w:r>
      <w:r w:rsidRPr="00FC68A8">
        <w:rPr>
          <w:rFonts w:ascii="Times New Roman" w:hAnsi="Times New Roman" w:cs="Times New Roman"/>
          <w:b/>
          <w:sz w:val="28"/>
          <w:szCs w:val="28"/>
          <w:lang w:val="ro-RO"/>
        </w:rPr>
        <w:tab/>
      </w:r>
      <w:r w:rsidRPr="00FC68A8">
        <w:rPr>
          <w:rFonts w:ascii="Times New Roman" w:hAnsi="Times New Roman" w:cs="Times New Roman"/>
          <w:b/>
          <w:sz w:val="28"/>
          <w:szCs w:val="28"/>
          <w:lang w:val="ro-RO"/>
        </w:rPr>
        <w:tab/>
      </w:r>
      <w:r w:rsidRPr="00FC68A8">
        <w:rPr>
          <w:rFonts w:ascii="Times New Roman" w:hAnsi="Times New Roman" w:cs="Times New Roman"/>
          <w:b/>
          <w:sz w:val="28"/>
          <w:szCs w:val="28"/>
          <w:lang w:val="ro-RO"/>
        </w:rPr>
        <w:tab/>
        <w:t xml:space="preserve">                                Svetlana Fulga</w:t>
      </w:r>
    </w:p>
    <w:p w:rsidR="00FC68A8" w:rsidRPr="00FC68A8" w:rsidRDefault="00FC68A8" w:rsidP="00FC68A8">
      <w:pPr>
        <w:spacing w:after="0"/>
        <w:jc w:val="right"/>
        <w:rPr>
          <w:rFonts w:ascii="Times New Roman" w:hAnsi="Times New Roman" w:cs="Times New Roman"/>
          <w:sz w:val="28"/>
          <w:szCs w:val="28"/>
          <w:lang w:val="ro-RO"/>
        </w:rPr>
      </w:pPr>
      <w:r w:rsidRPr="00FC68A8">
        <w:rPr>
          <w:rFonts w:ascii="Times New Roman" w:hAnsi="Times New Roman" w:cs="Times New Roman"/>
          <w:sz w:val="28"/>
          <w:szCs w:val="28"/>
          <w:lang w:val="ro-RO"/>
        </w:rPr>
        <w:lastRenderedPageBreak/>
        <w:t xml:space="preserve">Anexa nr. 1 </w:t>
      </w:r>
    </w:p>
    <w:p w:rsidR="00FC68A8" w:rsidRPr="00FC68A8" w:rsidRDefault="00B502C0" w:rsidP="00FC68A8">
      <w:pPr>
        <w:spacing w:after="0"/>
        <w:jc w:val="right"/>
        <w:rPr>
          <w:rFonts w:ascii="Times New Roman" w:hAnsi="Times New Roman" w:cs="Times New Roman"/>
          <w:sz w:val="28"/>
          <w:szCs w:val="28"/>
          <w:lang w:val="ro-RO"/>
        </w:rPr>
      </w:pPr>
      <w:r>
        <w:rPr>
          <w:rFonts w:ascii="Times New Roman" w:hAnsi="Times New Roman" w:cs="Times New Roman"/>
          <w:sz w:val="28"/>
          <w:szCs w:val="28"/>
          <w:lang w:val="ro-RO"/>
        </w:rPr>
        <w:t>la decizia nr.</w:t>
      </w:r>
      <w:r w:rsidR="0081034A">
        <w:rPr>
          <w:rFonts w:ascii="Times New Roman" w:hAnsi="Times New Roman" w:cs="Times New Roman"/>
          <w:sz w:val="28"/>
          <w:szCs w:val="28"/>
          <w:lang w:val="ro-RO"/>
        </w:rPr>
        <w:t xml:space="preserve"> </w:t>
      </w:r>
      <w:r w:rsidR="00572B4B">
        <w:rPr>
          <w:rFonts w:ascii="Times New Roman" w:hAnsi="Times New Roman" w:cs="Times New Roman"/>
          <w:sz w:val="28"/>
          <w:szCs w:val="28"/>
          <w:lang w:val="ro-RO"/>
        </w:rPr>
        <w:t>10</w:t>
      </w:r>
      <w:r w:rsidR="00A8365B">
        <w:rPr>
          <w:rFonts w:ascii="Times New Roman" w:hAnsi="Times New Roman" w:cs="Times New Roman"/>
          <w:sz w:val="28"/>
          <w:szCs w:val="28"/>
          <w:lang w:val="ro-RO"/>
        </w:rPr>
        <w:t>.3</w:t>
      </w:r>
      <w:r>
        <w:rPr>
          <w:rFonts w:ascii="Times New Roman" w:hAnsi="Times New Roman" w:cs="Times New Roman"/>
          <w:sz w:val="28"/>
          <w:szCs w:val="28"/>
          <w:lang w:val="ro-RO"/>
        </w:rPr>
        <w:t xml:space="preserve"> </w:t>
      </w:r>
    </w:p>
    <w:p w:rsidR="00FC68A8" w:rsidRPr="008B2D39" w:rsidRDefault="00FC68A8" w:rsidP="00FC68A8">
      <w:pPr>
        <w:spacing w:after="0"/>
        <w:jc w:val="right"/>
        <w:rPr>
          <w:sz w:val="28"/>
          <w:szCs w:val="28"/>
          <w:lang w:val="ro-RO"/>
        </w:rPr>
      </w:pPr>
      <w:r w:rsidRPr="00FC68A8">
        <w:rPr>
          <w:rFonts w:ascii="Times New Roman" w:hAnsi="Times New Roman" w:cs="Times New Roman"/>
          <w:sz w:val="28"/>
          <w:szCs w:val="28"/>
          <w:lang w:val="ro-RO"/>
        </w:rPr>
        <w:t xml:space="preserve">din </w:t>
      </w:r>
      <w:r w:rsidR="00B502C0">
        <w:rPr>
          <w:rFonts w:ascii="Times New Roman" w:hAnsi="Times New Roman" w:cs="Times New Roman"/>
          <w:sz w:val="28"/>
          <w:szCs w:val="28"/>
          <w:lang w:val="ro-RO"/>
        </w:rPr>
        <w:t xml:space="preserve"> </w:t>
      </w:r>
      <w:r w:rsidR="00A8365B">
        <w:rPr>
          <w:rFonts w:ascii="Times New Roman" w:hAnsi="Times New Roman" w:cs="Times New Roman"/>
          <w:sz w:val="28"/>
          <w:szCs w:val="28"/>
          <w:lang w:val="ro-RO"/>
        </w:rPr>
        <w:t>12.12</w:t>
      </w:r>
      <w:r w:rsidR="00B502C0">
        <w:rPr>
          <w:rFonts w:ascii="Times New Roman" w:hAnsi="Times New Roman" w:cs="Times New Roman"/>
          <w:sz w:val="28"/>
          <w:szCs w:val="28"/>
          <w:lang w:val="ro-RO"/>
        </w:rPr>
        <w:t>.20</w:t>
      </w:r>
      <w:r w:rsidR="00A8365B">
        <w:rPr>
          <w:rFonts w:ascii="Times New Roman" w:hAnsi="Times New Roman" w:cs="Times New Roman"/>
          <w:sz w:val="28"/>
          <w:szCs w:val="28"/>
          <w:lang w:val="ro-RO"/>
        </w:rPr>
        <w:t>19</w:t>
      </w:r>
    </w:p>
    <w:tbl>
      <w:tblPr>
        <w:tblStyle w:val="a3"/>
        <w:tblW w:w="0" w:type="auto"/>
        <w:tblLook w:val="04A0" w:firstRow="1" w:lastRow="0" w:firstColumn="1" w:lastColumn="0" w:noHBand="0" w:noVBand="1"/>
      </w:tblPr>
      <w:tblGrid>
        <w:gridCol w:w="831"/>
        <w:gridCol w:w="6968"/>
        <w:gridCol w:w="1390"/>
      </w:tblGrid>
      <w:tr w:rsidR="009D0236" w:rsidRPr="00A8365B" w:rsidTr="00D71F89">
        <w:trPr>
          <w:trHeight w:val="719"/>
        </w:trPr>
        <w:tc>
          <w:tcPr>
            <w:tcW w:w="831" w:type="dxa"/>
          </w:tcPr>
          <w:p w:rsidR="009D0236" w:rsidRPr="00B86DC0" w:rsidRDefault="009D0236" w:rsidP="00B86DC0">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Nr.</w:t>
            </w:r>
          </w:p>
          <w:p w:rsidR="009D0236" w:rsidRPr="00B86DC0" w:rsidRDefault="009D0236" w:rsidP="00B86DC0">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d/o</w:t>
            </w:r>
          </w:p>
        </w:tc>
        <w:tc>
          <w:tcPr>
            <w:tcW w:w="6968" w:type="dxa"/>
          </w:tcPr>
          <w:p w:rsidR="009D0236" w:rsidRPr="00B86DC0" w:rsidRDefault="009D0236" w:rsidP="00B86DC0">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Obiectele impunerii</w:t>
            </w:r>
          </w:p>
        </w:tc>
        <w:tc>
          <w:tcPr>
            <w:tcW w:w="1390" w:type="dxa"/>
          </w:tcPr>
          <w:p w:rsidR="009D0236" w:rsidRPr="00B86DC0" w:rsidRDefault="009D0236" w:rsidP="00B86DC0">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Cotele concrete</w:t>
            </w:r>
          </w:p>
        </w:tc>
      </w:tr>
      <w:tr w:rsidR="009D0236" w:rsidRPr="0083694D" w:rsidTr="00D71F89">
        <w:trPr>
          <w:trHeight w:val="719"/>
        </w:trPr>
        <w:tc>
          <w:tcPr>
            <w:tcW w:w="831" w:type="dxa"/>
          </w:tcPr>
          <w:p w:rsidR="009D0236" w:rsidRPr="00B86DC0" w:rsidRDefault="009D0236" w:rsidP="00935A83">
            <w:pPr>
              <w:jc w:val="both"/>
              <w:rPr>
                <w:rFonts w:ascii="Times New Roman" w:hAnsi="Times New Roman" w:cs="Times New Roman"/>
                <w:b/>
                <w:sz w:val="28"/>
                <w:szCs w:val="28"/>
                <w:lang w:val="ro-RO"/>
              </w:rPr>
            </w:pPr>
            <w:r w:rsidRPr="00B86DC0">
              <w:rPr>
                <w:rFonts w:ascii="Times New Roman" w:hAnsi="Times New Roman" w:cs="Times New Roman"/>
                <w:b/>
                <w:sz w:val="28"/>
                <w:szCs w:val="28"/>
                <w:lang w:val="ro-RO"/>
              </w:rPr>
              <w:t>I</w:t>
            </w:r>
          </w:p>
        </w:tc>
        <w:tc>
          <w:tcPr>
            <w:tcW w:w="6968" w:type="dxa"/>
          </w:tcPr>
          <w:p w:rsidR="009D0236" w:rsidRPr="00B86DC0" w:rsidRDefault="009D0236" w:rsidP="00E95FFC">
            <w:pPr>
              <w:jc w:val="center"/>
              <w:rPr>
                <w:rFonts w:ascii="Times New Roman" w:hAnsi="Times New Roman" w:cs="Times New Roman"/>
                <w:b/>
                <w:sz w:val="28"/>
                <w:szCs w:val="28"/>
                <w:lang w:val="ro-RO"/>
              </w:rPr>
            </w:pPr>
            <w:r w:rsidRPr="00B86DC0">
              <w:rPr>
                <w:rFonts w:ascii="Times New Roman" w:hAnsi="Times New Roman" w:cs="Times New Roman"/>
                <w:b/>
                <w:sz w:val="28"/>
                <w:szCs w:val="28"/>
                <w:lang w:val="ro-RO"/>
              </w:rPr>
              <w:t>Cotele concrete la impozitul pe bunurile imobiliare</w:t>
            </w:r>
          </w:p>
          <w:p w:rsidR="009D0236" w:rsidRPr="00E95FFC" w:rsidRDefault="00E95FFC" w:rsidP="00935A83">
            <w:pPr>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9D0236" w:rsidRPr="00B86DC0">
              <w:rPr>
                <w:rFonts w:ascii="Times New Roman" w:hAnsi="Times New Roman" w:cs="Times New Roman"/>
                <w:sz w:val="28"/>
                <w:szCs w:val="28"/>
                <w:lang w:val="ro-RO"/>
              </w:rPr>
              <w:t>entru bunurile imobiliare</w:t>
            </w:r>
            <w:r>
              <w:rPr>
                <w:rFonts w:ascii="Times New Roman" w:hAnsi="Times New Roman" w:cs="Times New Roman"/>
                <w:sz w:val="28"/>
                <w:szCs w:val="28"/>
                <w:lang w:val="ro-RO"/>
              </w:rPr>
              <w:t>,</w:t>
            </w:r>
            <w:r w:rsidR="009D0236" w:rsidRPr="00B86DC0">
              <w:rPr>
                <w:rFonts w:ascii="Times New Roman" w:hAnsi="Times New Roman" w:cs="Times New Roman"/>
                <w:sz w:val="28"/>
                <w:szCs w:val="28"/>
                <w:lang w:val="ro-RO"/>
              </w:rPr>
              <w:t xml:space="preserve"> evalua</w:t>
            </w:r>
            <w:r>
              <w:rPr>
                <w:rFonts w:ascii="Times New Roman" w:hAnsi="Times New Roman" w:cs="Times New Roman"/>
                <w:sz w:val="28"/>
                <w:szCs w:val="28"/>
                <w:lang w:val="ro-RO"/>
              </w:rPr>
              <w:t xml:space="preserve">te de către organele cadastrale, </w:t>
            </w:r>
            <w:r w:rsidR="009D0236" w:rsidRPr="00B86DC0">
              <w:rPr>
                <w:rFonts w:ascii="Times New Roman" w:hAnsi="Times New Roman" w:cs="Times New Roman"/>
                <w:sz w:val="28"/>
                <w:szCs w:val="28"/>
                <w:lang w:val="ro-RO"/>
              </w:rPr>
              <w:t>în scopul impozitării</w:t>
            </w:r>
            <w:r>
              <w:rPr>
                <w:rFonts w:ascii="Times New Roman" w:hAnsi="Times New Roman" w:cs="Times New Roman"/>
                <w:sz w:val="28"/>
                <w:szCs w:val="28"/>
                <w:lang w:val="ro-RO"/>
              </w:rPr>
              <w:t xml:space="preserve"> </w:t>
            </w:r>
            <w:r w:rsidR="009D0236" w:rsidRPr="00B86DC0">
              <w:rPr>
                <w:rFonts w:ascii="Times New Roman" w:hAnsi="Times New Roman" w:cs="Times New Roman"/>
                <w:i/>
                <w:sz w:val="28"/>
                <w:szCs w:val="28"/>
                <w:lang w:val="ro-RO"/>
              </w:rPr>
              <w:t>(conform art. 280 din titlul VI al Codului fiscal)</w:t>
            </w:r>
          </w:p>
        </w:tc>
        <w:tc>
          <w:tcPr>
            <w:tcW w:w="1390" w:type="dxa"/>
          </w:tcPr>
          <w:p w:rsidR="009D0236" w:rsidRPr="00B86DC0" w:rsidRDefault="009D0236" w:rsidP="00935A83">
            <w:pPr>
              <w:jc w:val="both"/>
              <w:rPr>
                <w:rFonts w:ascii="Times New Roman" w:hAnsi="Times New Roman" w:cs="Times New Roman"/>
                <w:sz w:val="28"/>
                <w:szCs w:val="28"/>
                <w:lang w:val="ro-RO"/>
              </w:rPr>
            </w:pPr>
          </w:p>
        </w:tc>
      </w:tr>
      <w:tr w:rsidR="009D0236" w:rsidRPr="00B86DC0" w:rsidTr="00D71F89">
        <w:trPr>
          <w:trHeight w:val="221"/>
        </w:trPr>
        <w:tc>
          <w:tcPr>
            <w:tcW w:w="831" w:type="dxa"/>
          </w:tcPr>
          <w:p w:rsidR="009D0236" w:rsidRPr="00B86DC0" w:rsidRDefault="009D0236" w:rsidP="00935A83">
            <w:pPr>
              <w:jc w:val="both"/>
              <w:rPr>
                <w:rFonts w:ascii="Times New Roman" w:hAnsi="Times New Roman" w:cs="Times New Roman"/>
                <w:sz w:val="28"/>
                <w:szCs w:val="28"/>
                <w:lang w:val="ro-RO"/>
              </w:rPr>
            </w:pPr>
          </w:p>
        </w:tc>
        <w:tc>
          <w:tcPr>
            <w:tcW w:w="6968" w:type="dxa"/>
          </w:tcPr>
          <w:p w:rsidR="009D0236" w:rsidRPr="00E95FFC" w:rsidRDefault="009D0236" w:rsidP="00E95FFC">
            <w:pPr>
              <w:jc w:val="center"/>
              <w:rPr>
                <w:rFonts w:ascii="Times New Roman" w:hAnsi="Times New Roman" w:cs="Times New Roman"/>
                <w:sz w:val="28"/>
                <w:szCs w:val="28"/>
                <w:lang w:val="ro-RO"/>
              </w:rPr>
            </w:pPr>
            <w:r w:rsidRPr="00E95FFC">
              <w:rPr>
                <w:rFonts w:ascii="Times New Roman" w:hAnsi="Times New Roman" w:cs="Times New Roman"/>
                <w:sz w:val="28"/>
                <w:szCs w:val="28"/>
                <w:lang w:val="ro-RO"/>
              </w:rPr>
              <w:t>Bunurile imobiliare, inclusiv:</w:t>
            </w:r>
          </w:p>
        </w:tc>
        <w:tc>
          <w:tcPr>
            <w:tcW w:w="1390" w:type="dxa"/>
          </w:tcPr>
          <w:p w:rsidR="009D0236" w:rsidRPr="00B86DC0" w:rsidRDefault="009D0236" w:rsidP="00935A83">
            <w:pPr>
              <w:jc w:val="both"/>
              <w:rPr>
                <w:rFonts w:ascii="Times New Roman" w:hAnsi="Times New Roman" w:cs="Times New Roman"/>
                <w:sz w:val="28"/>
                <w:szCs w:val="28"/>
                <w:lang w:val="ro-RO"/>
              </w:rPr>
            </w:pPr>
          </w:p>
        </w:tc>
      </w:tr>
      <w:tr w:rsidR="009D0236" w:rsidRPr="00B86DC0" w:rsidTr="00D71F89">
        <w:trPr>
          <w:trHeight w:val="612"/>
        </w:trPr>
        <w:tc>
          <w:tcPr>
            <w:tcW w:w="831" w:type="dxa"/>
          </w:tcPr>
          <w:p w:rsidR="009D0236" w:rsidRPr="00B86DC0" w:rsidRDefault="009D0236"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1.</w:t>
            </w:r>
          </w:p>
        </w:tc>
        <w:tc>
          <w:tcPr>
            <w:tcW w:w="6968" w:type="dxa"/>
          </w:tcPr>
          <w:p w:rsidR="009D0236" w:rsidRPr="00B86DC0" w:rsidRDefault="00E95FFC" w:rsidP="00E95FFC">
            <w:pPr>
              <w:jc w:val="both"/>
              <w:rPr>
                <w:rFonts w:ascii="Times New Roman" w:hAnsi="Times New Roman" w:cs="Times New Roman"/>
                <w:sz w:val="28"/>
                <w:szCs w:val="28"/>
                <w:lang w:val="ro-RO"/>
              </w:rPr>
            </w:pPr>
            <w:r>
              <w:rPr>
                <w:rFonts w:ascii="Times New Roman" w:hAnsi="Times New Roman" w:cs="Times New Roman"/>
                <w:sz w:val="28"/>
                <w:szCs w:val="28"/>
                <w:lang w:val="ro-RO"/>
              </w:rPr>
              <w:t>Cu destinație locativă (</w:t>
            </w:r>
            <w:r w:rsidR="009D0236" w:rsidRPr="00B86DC0">
              <w:rPr>
                <w:rFonts w:ascii="Times New Roman" w:hAnsi="Times New Roman" w:cs="Times New Roman"/>
                <w:sz w:val="28"/>
                <w:szCs w:val="28"/>
                <w:lang w:val="ro-RO"/>
              </w:rPr>
              <w:t>apartamente și case de locuit individuale</w:t>
            </w:r>
            <w:r>
              <w:rPr>
                <w:rFonts w:ascii="Times New Roman" w:hAnsi="Times New Roman" w:cs="Times New Roman"/>
                <w:sz w:val="28"/>
                <w:szCs w:val="28"/>
                <w:lang w:val="ro-RO"/>
              </w:rPr>
              <w:t>,</w:t>
            </w:r>
            <w:r w:rsidR="009D0236" w:rsidRPr="00B86DC0">
              <w:rPr>
                <w:rFonts w:ascii="Times New Roman" w:hAnsi="Times New Roman" w:cs="Times New Roman"/>
                <w:sz w:val="28"/>
                <w:szCs w:val="28"/>
                <w:lang w:val="ro-RO"/>
              </w:rPr>
              <w:t xml:space="preserve"> terenuri aferente acestor bunuri</w:t>
            </w:r>
            <w:r>
              <w:rPr>
                <w:rFonts w:ascii="Times New Roman" w:hAnsi="Times New Roman" w:cs="Times New Roman"/>
                <w:sz w:val="28"/>
                <w:szCs w:val="28"/>
                <w:lang w:val="ro-RO"/>
              </w:rPr>
              <w:t>)</w:t>
            </w:r>
          </w:p>
        </w:tc>
        <w:tc>
          <w:tcPr>
            <w:tcW w:w="1390" w:type="dxa"/>
          </w:tcPr>
          <w:p w:rsidR="009D0236"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0,1%</w:t>
            </w:r>
          </w:p>
        </w:tc>
      </w:tr>
      <w:tr w:rsidR="009D0236" w:rsidRPr="00B86DC0" w:rsidTr="00D71F89">
        <w:trPr>
          <w:trHeight w:val="413"/>
        </w:trPr>
        <w:tc>
          <w:tcPr>
            <w:tcW w:w="831" w:type="dxa"/>
          </w:tcPr>
          <w:p w:rsidR="009D0236"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2.</w:t>
            </w:r>
          </w:p>
        </w:tc>
        <w:tc>
          <w:tcPr>
            <w:tcW w:w="6968" w:type="dxa"/>
          </w:tcPr>
          <w:p w:rsidR="009D0236"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Garajele și terenurile</w:t>
            </w:r>
            <w:r w:rsidR="00E95FFC">
              <w:rPr>
                <w:rFonts w:ascii="Times New Roman" w:hAnsi="Times New Roman" w:cs="Times New Roman"/>
                <w:sz w:val="28"/>
                <w:szCs w:val="28"/>
                <w:lang w:val="ro-RO"/>
              </w:rPr>
              <w:t xml:space="preserve"> pe care acestea sunt amplasate</w:t>
            </w:r>
          </w:p>
        </w:tc>
        <w:tc>
          <w:tcPr>
            <w:tcW w:w="1390" w:type="dxa"/>
          </w:tcPr>
          <w:p w:rsidR="009D0236" w:rsidRPr="00B86DC0" w:rsidRDefault="00956F68" w:rsidP="007B43C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0,</w:t>
            </w:r>
            <w:r w:rsidR="007B43CC">
              <w:rPr>
                <w:rFonts w:ascii="Times New Roman" w:hAnsi="Times New Roman" w:cs="Times New Roman"/>
                <w:sz w:val="28"/>
                <w:szCs w:val="28"/>
                <w:lang w:val="ro-RO"/>
              </w:rPr>
              <w:t>1</w:t>
            </w:r>
            <w:r w:rsidRPr="00B86DC0">
              <w:rPr>
                <w:rFonts w:ascii="Times New Roman" w:hAnsi="Times New Roman" w:cs="Times New Roman"/>
                <w:sz w:val="28"/>
                <w:szCs w:val="28"/>
                <w:lang w:val="ro-RO"/>
              </w:rPr>
              <w:t>%</w:t>
            </w:r>
          </w:p>
        </w:tc>
      </w:tr>
      <w:tr w:rsidR="00956F68" w:rsidRPr="00B86DC0" w:rsidTr="00D71F89">
        <w:trPr>
          <w:trHeight w:val="413"/>
        </w:trPr>
        <w:tc>
          <w:tcPr>
            <w:tcW w:w="831"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3.</w:t>
            </w:r>
          </w:p>
        </w:tc>
        <w:tc>
          <w:tcPr>
            <w:tcW w:w="6968" w:type="dxa"/>
          </w:tcPr>
          <w:p w:rsidR="00956F68" w:rsidRPr="00B86DC0" w:rsidRDefault="00956F68" w:rsidP="00E95FFC">
            <w:pPr>
              <w:tabs>
                <w:tab w:val="left" w:pos="5628"/>
              </w:tabs>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Loturile întovărășirilor pomicole cu sau f</w:t>
            </w:r>
            <w:r w:rsidR="00E95FFC">
              <w:rPr>
                <w:rFonts w:ascii="Times New Roman" w:hAnsi="Times New Roman" w:cs="Times New Roman"/>
                <w:sz w:val="28"/>
                <w:szCs w:val="28"/>
                <w:lang w:val="ro-RO"/>
              </w:rPr>
              <w:t>ără construcții amplasate pe ele</w:t>
            </w:r>
            <w:r w:rsidRPr="00B86DC0">
              <w:rPr>
                <w:rFonts w:ascii="Times New Roman" w:hAnsi="Times New Roman" w:cs="Times New Roman"/>
                <w:sz w:val="28"/>
                <w:szCs w:val="28"/>
                <w:lang w:val="ro-RO"/>
              </w:rPr>
              <w:tab/>
            </w:r>
          </w:p>
        </w:tc>
        <w:tc>
          <w:tcPr>
            <w:tcW w:w="1390"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0,1%</w:t>
            </w:r>
          </w:p>
        </w:tc>
      </w:tr>
      <w:tr w:rsidR="00956F68" w:rsidRPr="00B86DC0" w:rsidTr="00D71F89">
        <w:trPr>
          <w:trHeight w:val="544"/>
        </w:trPr>
        <w:tc>
          <w:tcPr>
            <w:tcW w:w="831"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4.</w:t>
            </w:r>
          </w:p>
        </w:tc>
        <w:tc>
          <w:tcPr>
            <w:tcW w:w="6968"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agricole cu construcții amplasate pe ele</w:t>
            </w:r>
          </w:p>
        </w:tc>
        <w:tc>
          <w:tcPr>
            <w:tcW w:w="1390"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0,1%</w:t>
            </w:r>
          </w:p>
        </w:tc>
      </w:tr>
      <w:tr w:rsidR="00956F68" w:rsidRPr="00B86DC0" w:rsidTr="00D71F89">
        <w:trPr>
          <w:trHeight w:val="544"/>
        </w:trPr>
        <w:tc>
          <w:tcPr>
            <w:tcW w:w="831" w:type="dxa"/>
          </w:tcPr>
          <w:p w:rsidR="00956F68" w:rsidRPr="00B86DC0" w:rsidRDefault="00956F68"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5.</w:t>
            </w:r>
          </w:p>
        </w:tc>
        <w:tc>
          <w:tcPr>
            <w:tcW w:w="6968" w:type="dxa"/>
          </w:tcPr>
          <w:p w:rsidR="00956F68" w:rsidRPr="00B86DC0" w:rsidRDefault="00956F68" w:rsidP="00DA61D8">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Bunurile imobiliare cu altă destinație dec</w:t>
            </w:r>
            <w:r w:rsidR="00DA61D8">
              <w:rPr>
                <w:rFonts w:ascii="Times New Roman" w:hAnsi="Times New Roman" w:cs="Times New Roman"/>
                <w:sz w:val="28"/>
                <w:szCs w:val="28"/>
                <w:lang w:val="ro-RO"/>
              </w:rPr>
              <w:t>â</w:t>
            </w:r>
            <w:r w:rsidRPr="00B86DC0">
              <w:rPr>
                <w:rFonts w:ascii="Times New Roman" w:hAnsi="Times New Roman" w:cs="Times New Roman"/>
                <w:sz w:val="28"/>
                <w:szCs w:val="28"/>
                <w:lang w:val="ro-RO"/>
              </w:rPr>
              <w:t>t cea locativă sau agricolă, inclusiv</w:t>
            </w:r>
            <w:r w:rsidR="00E95FFC">
              <w:rPr>
                <w:rFonts w:ascii="Times New Roman" w:hAnsi="Times New Roman" w:cs="Times New Roman"/>
                <w:sz w:val="28"/>
                <w:szCs w:val="28"/>
                <w:lang w:val="ro-RO"/>
              </w:rPr>
              <w:t>,</w:t>
            </w:r>
            <w:r w:rsidR="006F26C3" w:rsidRPr="00B86DC0">
              <w:rPr>
                <w:rFonts w:ascii="Times New Roman" w:hAnsi="Times New Roman" w:cs="Times New Roman"/>
                <w:sz w:val="28"/>
                <w:szCs w:val="28"/>
                <w:lang w:val="ro-RO"/>
              </w:rPr>
              <w:t xml:space="preserve"> </w:t>
            </w:r>
            <w:r w:rsidR="006F26C3" w:rsidRPr="0083694D">
              <w:rPr>
                <w:rFonts w:ascii="Times New Roman" w:hAnsi="Times New Roman" w:cs="Times New Roman"/>
                <w:b/>
                <w:sz w:val="28"/>
                <w:szCs w:val="28"/>
                <w:lang w:val="ro-RO"/>
              </w:rPr>
              <w:t>except</w:t>
            </w:r>
            <w:r w:rsidR="000A7A25" w:rsidRPr="0083694D">
              <w:rPr>
                <w:rFonts w:ascii="Times New Roman" w:hAnsi="Times New Roman" w:cs="Times New Roman"/>
                <w:b/>
                <w:sz w:val="28"/>
                <w:szCs w:val="28"/>
                <w:lang w:val="ro-RO"/>
              </w:rPr>
              <w:t>â</w:t>
            </w:r>
            <w:r w:rsidR="006F26C3" w:rsidRPr="0083694D">
              <w:rPr>
                <w:rFonts w:ascii="Times New Roman" w:hAnsi="Times New Roman" w:cs="Times New Roman"/>
                <w:b/>
                <w:sz w:val="28"/>
                <w:szCs w:val="28"/>
                <w:lang w:val="ro-RO"/>
              </w:rPr>
              <w:t>nd</w:t>
            </w:r>
            <w:r w:rsidR="006F26C3" w:rsidRPr="00B86DC0">
              <w:rPr>
                <w:rFonts w:ascii="Times New Roman" w:hAnsi="Times New Roman" w:cs="Times New Roman"/>
                <w:sz w:val="28"/>
                <w:szCs w:val="28"/>
                <w:lang w:val="ro-RO"/>
              </w:rPr>
              <w:t xml:space="preserve"> garajele și terenurile pe care acestea sunt amplasate</w:t>
            </w:r>
            <w:r w:rsidR="00FE4B58" w:rsidRPr="00B86DC0">
              <w:rPr>
                <w:rFonts w:ascii="Times New Roman" w:hAnsi="Times New Roman" w:cs="Times New Roman"/>
                <w:sz w:val="28"/>
                <w:szCs w:val="28"/>
                <w:lang w:val="ro-RO"/>
              </w:rPr>
              <w:t xml:space="preserve"> </w:t>
            </w:r>
            <w:r w:rsidR="006F26C3" w:rsidRPr="00B86DC0">
              <w:rPr>
                <w:rFonts w:ascii="Times New Roman" w:hAnsi="Times New Roman" w:cs="Times New Roman"/>
                <w:sz w:val="28"/>
                <w:szCs w:val="28"/>
                <w:lang w:val="ro-RO"/>
              </w:rPr>
              <w:t>și loturile întovărășirilor pomicole cu sau fă</w:t>
            </w:r>
            <w:r w:rsidR="00E95FFC">
              <w:rPr>
                <w:rFonts w:ascii="Times New Roman" w:hAnsi="Times New Roman" w:cs="Times New Roman"/>
                <w:sz w:val="28"/>
                <w:szCs w:val="28"/>
                <w:lang w:val="ro-RO"/>
              </w:rPr>
              <w:t>ră construcții amplasate pe ele</w:t>
            </w:r>
          </w:p>
        </w:tc>
        <w:tc>
          <w:tcPr>
            <w:tcW w:w="1390" w:type="dxa"/>
          </w:tcPr>
          <w:p w:rsidR="006F26C3" w:rsidRPr="00B86DC0" w:rsidRDefault="006F26C3" w:rsidP="00935A83">
            <w:pPr>
              <w:jc w:val="both"/>
              <w:rPr>
                <w:rFonts w:ascii="Times New Roman" w:hAnsi="Times New Roman" w:cs="Times New Roman"/>
                <w:sz w:val="28"/>
                <w:szCs w:val="28"/>
                <w:lang w:val="ro-RO"/>
              </w:rPr>
            </w:pPr>
          </w:p>
          <w:p w:rsidR="00956F68" w:rsidRPr="00B86DC0" w:rsidRDefault="00FE4B58" w:rsidP="00FE4B58">
            <w:pPr>
              <w:spacing w:line="360" w:lineRule="auto"/>
              <w:rPr>
                <w:rFonts w:ascii="Times New Roman" w:hAnsi="Times New Roman" w:cs="Times New Roman"/>
                <w:b/>
                <w:sz w:val="28"/>
                <w:szCs w:val="28"/>
                <w:lang w:val="ro-RO"/>
              </w:rPr>
            </w:pPr>
            <w:r w:rsidRPr="00B86DC0">
              <w:rPr>
                <w:rFonts w:ascii="Times New Roman" w:hAnsi="Times New Roman" w:cs="Times New Roman"/>
                <w:b/>
                <w:sz w:val="28"/>
                <w:szCs w:val="28"/>
                <w:lang w:val="ro-RO"/>
              </w:rPr>
              <w:t>0,3%</w:t>
            </w:r>
          </w:p>
        </w:tc>
      </w:tr>
      <w:tr w:rsidR="006F26C3" w:rsidRPr="0083694D" w:rsidTr="00D71F89">
        <w:trPr>
          <w:trHeight w:val="544"/>
        </w:trPr>
        <w:tc>
          <w:tcPr>
            <w:tcW w:w="831" w:type="dxa"/>
          </w:tcPr>
          <w:p w:rsidR="006F26C3" w:rsidRPr="00B86DC0" w:rsidRDefault="006F26C3" w:rsidP="00935A83">
            <w:pPr>
              <w:jc w:val="both"/>
              <w:rPr>
                <w:rFonts w:ascii="Times New Roman" w:hAnsi="Times New Roman" w:cs="Times New Roman"/>
                <w:b/>
                <w:sz w:val="28"/>
                <w:szCs w:val="28"/>
                <w:lang w:val="ro-RO"/>
              </w:rPr>
            </w:pPr>
            <w:r w:rsidRPr="00B86DC0">
              <w:rPr>
                <w:rFonts w:ascii="Times New Roman" w:hAnsi="Times New Roman" w:cs="Times New Roman"/>
                <w:b/>
                <w:sz w:val="28"/>
                <w:szCs w:val="28"/>
                <w:lang w:val="ro-RO"/>
              </w:rPr>
              <w:t>II</w:t>
            </w:r>
          </w:p>
        </w:tc>
        <w:tc>
          <w:tcPr>
            <w:tcW w:w="8358" w:type="dxa"/>
            <w:gridSpan w:val="2"/>
          </w:tcPr>
          <w:p w:rsidR="00E95FFC" w:rsidRDefault="006F26C3" w:rsidP="00935A83">
            <w:pPr>
              <w:jc w:val="both"/>
              <w:rPr>
                <w:rFonts w:ascii="Times New Roman" w:hAnsi="Times New Roman" w:cs="Times New Roman"/>
                <w:sz w:val="28"/>
                <w:szCs w:val="28"/>
                <w:lang w:val="ro-RO"/>
              </w:rPr>
            </w:pPr>
            <w:r w:rsidRPr="00B86DC0">
              <w:rPr>
                <w:rFonts w:ascii="Times New Roman" w:hAnsi="Times New Roman" w:cs="Times New Roman"/>
                <w:b/>
                <w:sz w:val="28"/>
                <w:szCs w:val="28"/>
                <w:lang w:val="ro-RO"/>
              </w:rPr>
              <w:t xml:space="preserve">                     Cotele concrete la impozitul funciar</w:t>
            </w:r>
          </w:p>
          <w:p w:rsidR="006F26C3" w:rsidRPr="00B86DC0" w:rsidRDefault="006F26C3" w:rsidP="00E95FF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terenurile neevaluate de către organele cadastrale</w:t>
            </w:r>
            <w:r w:rsidR="00E95FFC">
              <w:rPr>
                <w:rFonts w:ascii="Times New Roman" w:hAnsi="Times New Roman" w:cs="Times New Roman"/>
                <w:sz w:val="28"/>
                <w:szCs w:val="28"/>
                <w:lang w:val="ro-RO"/>
              </w:rPr>
              <w:t>,</w:t>
            </w:r>
            <w:r w:rsidRPr="00B86DC0">
              <w:rPr>
                <w:rFonts w:ascii="Times New Roman" w:hAnsi="Times New Roman" w:cs="Times New Roman"/>
                <w:sz w:val="28"/>
                <w:szCs w:val="28"/>
                <w:lang w:val="ro-RO"/>
              </w:rPr>
              <w:t xml:space="preserve"> în scopul impozitării (</w:t>
            </w:r>
            <w:r w:rsidRPr="00B86DC0">
              <w:rPr>
                <w:rFonts w:ascii="Times New Roman" w:hAnsi="Times New Roman" w:cs="Times New Roman"/>
                <w:i/>
                <w:sz w:val="28"/>
                <w:szCs w:val="28"/>
                <w:lang w:val="ro-RO"/>
              </w:rPr>
              <w:t>conform Anexei nr.</w:t>
            </w:r>
            <w:r w:rsidR="00E95FFC">
              <w:rPr>
                <w:rFonts w:ascii="Times New Roman" w:hAnsi="Times New Roman" w:cs="Times New Roman"/>
                <w:i/>
                <w:sz w:val="28"/>
                <w:szCs w:val="28"/>
                <w:lang w:val="ro-RO"/>
              </w:rPr>
              <w:t xml:space="preserve"> </w:t>
            </w:r>
            <w:r w:rsidRPr="00B86DC0">
              <w:rPr>
                <w:rFonts w:ascii="Times New Roman" w:hAnsi="Times New Roman" w:cs="Times New Roman"/>
                <w:i/>
                <w:sz w:val="28"/>
                <w:szCs w:val="28"/>
                <w:lang w:val="ro-RO"/>
              </w:rPr>
              <w:t>1 la Legea pentru punerea în aplicare a titlului VI din Codul fiscal nr.1056 din 16.06.20000)</w:t>
            </w:r>
          </w:p>
        </w:tc>
      </w:tr>
      <w:tr w:rsidR="00E95FFC" w:rsidRPr="00B86DC0" w:rsidTr="00085A34">
        <w:trPr>
          <w:trHeight w:val="439"/>
        </w:trPr>
        <w:tc>
          <w:tcPr>
            <w:tcW w:w="831" w:type="dxa"/>
            <w:vMerge w:val="restart"/>
          </w:tcPr>
          <w:p w:rsidR="00E95FFC" w:rsidRPr="00B86DC0" w:rsidRDefault="00E95FFC"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6.</w:t>
            </w:r>
          </w:p>
        </w:tc>
        <w:tc>
          <w:tcPr>
            <w:tcW w:w="8358" w:type="dxa"/>
            <w:gridSpan w:val="2"/>
          </w:tcPr>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b/>
                <w:sz w:val="28"/>
                <w:szCs w:val="28"/>
                <w:lang w:val="ro-RO"/>
              </w:rPr>
              <w:t>Terenurile cu destinație agricolă:</w:t>
            </w:r>
          </w:p>
        </w:tc>
      </w:tr>
      <w:tr w:rsidR="00E95FFC" w:rsidRPr="00B86DC0" w:rsidTr="00E95FFC">
        <w:trPr>
          <w:trHeight w:val="642"/>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vMerge w:val="restart"/>
          </w:tcPr>
          <w:p w:rsidR="00E95FFC" w:rsidRPr="00B86DC0" w:rsidRDefault="00E95FFC" w:rsidP="00E95FFC">
            <w:pPr>
              <w:pStyle w:val="a8"/>
              <w:numPr>
                <w:ilvl w:val="0"/>
                <w:numId w:val="1"/>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Toate terenurile, altele dec</w:t>
            </w:r>
            <w:r>
              <w:rPr>
                <w:rFonts w:ascii="Times New Roman" w:hAnsi="Times New Roman" w:cs="Times New Roman"/>
                <w:sz w:val="28"/>
                <w:szCs w:val="28"/>
                <w:lang w:val="ro-RO"/>
              </w:rPr>
              <w:t>â</w:t>
            </w:r>
            <w:r w:rsidRPr="00B86DC0">
              <w:rPr>
                <w:rFonts w:ascii="Times New Roman" w:hAnsi="Times New Roman" w:cs="Times New Roman"/>
                <w:sz w:val="28"/>
                <w:szCs w:val="28"/>
                <w:lang w:val="ro-RO"/>
              </w:rPr>
              <w:t>t cele destinate f</w:t>
            </w:r>
            <w:r>
              <w:rPr>
                <w:rFonts w:ascii="Times New Roman" w:hAnsi="Times New Roman" w:cs="Times New Roman"/>
                <w:sz w:val="28"/>
                <w:szCs w:val="28"/>
                <w:lang w:val="ro-RO"/>
              </w:rPr>
              <w:t>â</w:t>
            </w:r>
            <w:r w:rsidRPr="00B86DC0">
              <w:rPr>
                <w:rFonts w:ascii="Times New Roman" w:hAnsi="Times New Roman" w:cs="Times New Roman"/>
                <w:sz w:val="28"/>
                <w:szCs w:val="28"/>
                <w:lang w:val="ro-RO"/>
              </w:rPr>
              <w:t>nețelor și pășunilor:</w:t>
            </w:r>
          </w:p>
          <w:p w:rsidR="00E95FFC" w:rsidRDefault="00E95FFC" w:rsidP="00E95FFC">
            <w:pPr>
              <w:pStyle w:val="a8"/>
              <w:numPr>
                <w:ilvl w:val="0"/>
                <w:numId w:val="2"/>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care au indici cadastrali</w:t>
            </w:r>
            <w:r>
              <w:rPr>
                <w:rFonts w:ascii="Times New Roman" w:hAnsi="Times New Roman" w:cs="Times New Roman"/>
                <w:sz w:val="28"/>
                <w:szCs w:val="28"/>
                <w:lang w:val="ro-RO"/>
              </w:rPr>
              <w:t>;</w:t>
            </w:r>
          </w:p>
          <w:p w:rsidR="00E95FFC" w:rsidRPr="00E95FFC" w:rsidRDefault="00E95FFC" w:rsidP="00E95FFC">
            <w:pPr>
              <w:pStyle w:val="a8"/>
              <w:numPr>
                <w:ilvl w:val="0"/>
                <w:numId w:val="2"/>
              </w:numPr>
              <w:jc w:val="both"/>
              <w:rPr>
                <w:rFonts w:ascii="Times New Roman" w:hAnsi="Times New Roman" w:cs="Times New Roman"/>
                <w:sz w:val="28"/>
                <w:szCs w:val="28"/>
                <w:lang w:val="ro-RO"/>
              </w:rPr>
            </w:pPr>
            <w:r w:rsidRPr="00E95FFC">
              <w:rPr>
                <w:rFonts w:ascii="Times New Roman" w:hAnsi="Times New Roman" w:cs="Times New Roman"/>
                <w:sz w:val="28"/>
                <w:szCs w:val="28"/>
                <w:lang w:val="ro-RO"/>
              </w:rPr>
              <w:t>care nu au indici cadastrali.</w:t>
            </w:r>
          </w:p>
        </w:tc>
        <w:tc>
          <w:tcPr>
            <w:tcW w:w="1390" w:type="dxa"/>
          </w:tcPr>
          <w:p w:rsidR="007B43CC" w:rsidRDefault="007B43CC" w:rsidP="00FC68A8">
            <w:pPr>
              <w:rPr>
                <w:rFonts w:ascii="Times New Roman" w:hAnsi="Times New Roman" w:cs="Times New Roman"/>
                <w:sz w:val="28"/>
                <w:szCs w:val="28"/>
                <w:lang w:val="ro-RO"/>
              </w:rPr>
            </w:pPr>
          </w:p>
          <w:p w:rsidR="007B43CC" w:rsidRDefault="007B43CC" w:rsidP="00FC68A8">
            <w:pPr>
              <w:rPr>
                <w:rFonts w:ascii="Times New Roman" w:hAnsi="Times New Roman" w:cs="Times New Roman"/>
                <w:sz w:val="28"/>
                <w:szCs w:val="28"/>
                <w:lang w:val="ro-RO"/>
              </w:rPr>
            </w:pPr>
          </w:p>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1,5 lei</w:t>
            </w:r>
          </w:p>
        </w:tc>
      </w:tr>
      <w:tr w:rsidR="00E95FFC" w:rsidRPr="00B86DC0" w:rsidTr="007B43CC">
        <w:trPr>
          <w:trHeight w:val="354"/>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vMerge/>
          </w:tcPr>
          <w:p w:rsidR="00E95FFC" w:rsidRPr="00B86DC0" w:rsidRDefault="00E95FFC" w:rsidP="00E95FFC">
            <w:pPr>
              <w:pStyle w:val="a8"/>
              <w:numPr>
                <w:ilvl w:val="0"/>
                <w:numId w:val="1"/>
              </w:numPr>
              <w:jc w:val="both"/>
              <w:rPr>
                <w:rFonts w:ascii="Times New Roman" w:hAnsi="Times New Roman" w:cs="Times New Roman"/>
                <w:sz w:val="28"/>
                <w:szCs w:val="28"/>
                <w:lang w:val="ro-RO"/>
              </w:rPr>
            </w:pPr>
          </w:p>
        </w:tc>
        <w:tc>
          <w:tcPr>
            <w:tcW w:w="1390" w:type="dxa"/>
          </w:tcPr>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110 lei</w:t>
            </w:r>
          </w:p>
        </w:tc>
      </w:tr>
      <w:tr w:rsidR="00E95FFC" w:rsidRPr="00B86DC0" w:rsidTr="00D71F89">
        <w:trPr>
          <w:trHeight w:val="404"/>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vMerge w:val="restart"/>
          </w:tcPr>
          <w:p w:rsidR="00E95FFC" w:rsidRPr="00B86DC0" w:rsidRDefault="007B43CC" w:rsidP="00935A83">
            <w:pPr>
              <w:pStyle w:val="a8"/>
              <w:numPr>
                <w:ilvl w:val="0"/>
                <w:numId w:val="1"/>
              </w:numPr>
              <w:jc w:val="both"/>
              <w:rPr>
                <w:rFonts w:ascii="Times New Roman" w:hAnsi="Times New Roman" w:cs="Times New Roman"/>
                <w:sz w:val="28"/>
                <w:szCs w:val="28"/>
                <w:lang w:val="ro-RO"/>
              </w:rPr>
            </w:pPr>
            <w:r>
              <w:rPr>
                <w:rFonts w:ascii="Times New Roman" w:hAnsi="Times New Roman" w:cs="Times New Roman"/>
                <w:sz w:val="28"/>
                <w:szCs w:val="28"/>
                <w:lang w:val="ro-RO"/>
              </w:rPr>
              <w:t>Terenurile destinate fâ</w:t>
            </w:r>
            <w:r w:rsidR="00E95FFC" w:rsidRPr="00B86DC0">
              <w:rPr>
                <w:rFonts w:ascii="Times New Roman" w:hAnsi="Times New Roman" w:cs="Times New Roman"/>
                <w:sz w:val="28"/>
                <w:szCs w:val="28"/>
                <w:lang w:val="ro-RO"/>
              </w:rPr>
              <w:t>nețelor și pășunilor:</w:t>
            </w:r>
          </w:p>
          <w:p w:rsidR="00E95FFC" w:rsidRPr="00B86DC0" w:rsidRDefault="00E95FFC" w:rsidP="00935A83">
            <w:pPr>
              <w:pStyle w:val="a8"/>
              <w:numPr>
                <w:ilvl w:val="0"/>
                <w:numId w:val="3"/>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care au indicii cadastrali</w:t>
            </w:r>
            <w:r>
              <w:rPr>
                <w:rFonts w:ascii="Times New Roman" w:hAnsi="Times New Roman" w:cs="Times New Roman"/>
                <w:sz w:val="28"/>
                <w:szCs w:val="28"/>
                <w:lang w:val="ro-RO"/>
              </w:rPr>
              <w:t>;</w:t>
            </w:r>
          </w:p>
          <w:p w:rsidR="00E95FFC" w:rsidRPr="00B86DC0" w:rsidRDefault="00E95FFC" w:rsidP="00935A83">
            <w:pPr>
              <w:pStyle w:val="a8"/>
              <w:numPr>
                <w:ilvl w:val="0"/>
                <w:numId w:val="3"/>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care nu au indici cadastrali</w:t>
            </w:r>
            <w:r>
              <w:rPr>
                <w:rFonts w:ascii="Times New Roman" w:hAnsi="Times New Roman" w:cs="Times New Roman"/>
                <w:sz w:val="28"/>
                <w:szCs w:val="28"/>
                <w:lang w:val="ro-RO"/>
              </w:rPr>
              <w:t>.</w:t>
            </w:r>
          </w:p>
        </w:tc>
        <w:tc>
          <w:tcPr>
            <w:tcW w:w="1390" w:type="dxa"/>
          </w:tcPr>
          <w:p w:rsidR="007B43CC" w:rsidRDefault="007B43CC" w:rsidP="00FC68A8">
            <w:pPr>
              <w:rPr>
                <w:rFonts w:ascii="Times New Roman" w:hAnsi="Times New Roman" w:cs="Times New Roman"/>
                <w:sz w:val="28"/>
                <w:szCs w:val="28"/>
                <w:lang w:val="ro-RO"/>
              </w:rPr>
            </w:pPr>
          </w:p>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0,75 lei</w:t>
            </w:r>
          </w:p>
        </w:tc>
      </w:tr>
      <w:tr w:rsidR="00E95FFC" w:rsidRPr="00B86DC0" w:rsidTr="00D71F89">
        <w:trPr>
          <w:trHeight w:val="404"/>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vMerge/>
          </w:tcPr>
          <w:p w:rsidR="00E95FFC" w:rsidRPr="00B86DC0" w:rsidRDefault="00E95FFC" w:rsidP="00935A83">
            <w:pPr>
              <w:pStyle w:val="a8"/>
              <w:numPr>
                <w:ilvl w:val="0"/>
                <w:numId w:val="1"/>
              </w:numPr>
              <w:jc w:val="both"/>
              <w:rPr>
                <w:rFonts w:ascii="Times New Roman" w:hAnsi="Times New Roman" w:cs="Times New Roman"/>
                <w:sz w:val="28"/>
                <w:szCs w:val="28"/>
                <w:lang w:val="ro-RO"/>
              </w:rPr>
            </w:pPr>
          </w:p>
        </w:tc>
        <w:tc>
          <w:tcPr>
            <w:tcW w:w="1390" w:type="dxa"/>
          </w:tcPr>
          <w:p w:rsidR="00E95FFC" w:rsidRPr="00B86DC0" w:rsidRDefault="00E95FF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55 lei</w:t>
            </w:r>
          </w:p>
        </w:tc>
      </w:tr>
      <w:tr w:rsidR="00E95FFC" w:rsidRPr="0083694D" w:rsidTr="00D71F89">
        <w:trPr>
          <w:trHeight w:val="544"/>
        </w:trPr>
        <w:tc>
          <w:tcPr>
            <w:tcW w:w="831" w:type="dxa"/>
            <w:vMerge/>
          </w:tcPr>
          <w:p w:rsidR="00E95FFC" w:rsidRPr="00B86DC0" w:rsidRDefault="00E95FFC" w:rsidP="00935A83">
            <w:pPr>
              <w:jc w:val="both"/>
              <w:rPr>
                <w:rFonts w:ascii="Times New Roman" w:hAnsi="Times New Roman" w:cs="Times New Roman"/>
                <w:sz w:val="28"/>
                <w:szCs w:val="28"/>
                <w:lang w:val="ro-RO"/>
              </w:rPr>
            </w:pPr>
          </w:p>
        </w:tc>
        <w:tc>
          <w:tcPr>
            <w:tcW w:w="6968" w:type="dxa"/>
          </w:tcPr>
          <w:p w:rsidR="00E95FFC" w:rsidRPr="00B86DC0" w:rsidRDefault="00E95FFC" w:rsidP="00935A83">
            <w:pPr>
              <w:pStyle w:val="a8"/>
              <w:numPr>
                <w:ilvl w:val="0"/>
                <w:numId w:val="1"/>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ocupate de obiecte acvatice (iazuri, lacuri, etc.)</w:t>
            </w:r>
          </w:p>
        </w:tc>
        <w:tc>
          <w:tcPr>
            <w:tcW w:w="1390" w:type="dxa"/>
          </w:tcPr>
          <w:p w:rsidR="00E95FFC" w:rsidRPr="00B86DC0" w:rsidRDefault="00E95FFC" w:rsidP="00FC68A8">
            <w:pPr>
              <w:rPr>
                <w:rFonts w:ascii="Times New Roman" w:hAnsi="Times New Roman" w:cs="Times New Roman"/>
                <w:sz w:val="28"/>
                <w:szCs w:val="28"/>
                <w:lang w:val="ro-RO"/>
              </w:rPr>
            </w:pPr>
          </w:p>
        </w:tc>
      </w:tr>
      <w:tr w:rsidR="005F705C" w:rsidRPr="00B86DC0" w:rsidTr="00D71F89">
        <w:trPr>
          <w:trHeight w:val="544"/>
        </w:trPr>
        <w:tc>
          <w:tcPr>
            <w:tcW w:w="831" w:type="dxa"/>
            <w:vMerge w:val="restart"/>
          </w:tcPr>
          <w:p w:rsidR="005F705C" w:rsidRPr="00B86DC0" w:rsidRDefault="005F705C"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7.</w:t>
            </w:r>
          </w:p>
        </w:tc>
        <w:tc>
          <w:tcPr>
            <w:tcW w:w="6968" w:type="dxa"/>
          </w:tcPr>
          <w:p w:rsidR="005F705C" w:rsidRDefault="005F705C" w:rsidP="00935A83">
            <w:pPr>
              <w:jc w:val="both"/>
              <w:rPr>
                <w:rFonts w:ascii="Times New Roman" w:hAnsi="Times New Roman" w:cs="Times New Roman"/>
                <w:b/>
                <w:sz w:val="28"/>
                <w:szCs w:val="28"/>
                <w:lang w:val="ro-RO"/>
              </w:rPr>
            </w:pPr>
            <w:r w:rsidRPr="00B86DC0">
              <w:rPr>
                <w:rFonts w:ascii="Times New Roman" w:hAnsi="Times New Roman" w:cs="Times New Roman"/>
                <w:b/>
                <w:sz w:val="28"/>
                <w:szCs w:val="28"/>
                <w:lang w:val="ro-RO"/>
              </w:rPr>
              <w:t>Terenurile din intravilan, inclusiv:</w:t>
            </w:r>
          </w:p>
          <w:p w:rsidR="005F705C" w:rsidRPr="00B86DC0" w:rsidRDefault="005F705C" w:rsidP="00935A83">
            <w:pPr>
              <w:pStyle w:val="a8"/>
              <w:numPr>
                <w:ilvl w:val="0"/>
                <w:numId w:val="4"/>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pe care sunt amplasate fon</w:t>
            </w:r>
            <w:r w:rsidR="0083694D">
              <w:rPr>
                <w:rFonts w:ascii="Times New Roman" w:hAnsi="Times New Roman" w:cs="Times New Roman"/>
                <w:sz w:val="28"/>
                <w:szCs w:val="28"/>
                <w:lang w:val="ro-RO"/>
              </w:rPr>
              <w:t>dul de locuințe, loturi de pe lâ</w:t>
            </w:r>
            <w:r w:rsidRPr="00B86DC0">
              <w:rPr>
                <w:rFonts w:ascii="Times New Roman" w:hAnsi="Times New Roman" w:cs="Times New Roman"/>
                <w:sz w:val="28"/>
                <w:szCs w:val="28"/>
                <w:lang w:val="ro-RO"/>
              </w:rPr>
              <w:t>ngă domiciliu ( inclusiv terenurile atribuite de către autoritățile p</w:t>
            </w:r>
            <w:r w:rsidR="0083694D">
              <w:rPr>
                <w:rFonts w:ascii="Times New Roman" w:hAnsi="Times New Roman" w:cs="Times New Roman"/>
                <w:sz w:val="28"/>
                <w:szCs w:val="28"/>
                <w:lang w:val="ro-RO"/>
              </w:rPr>
              <w:t>ublice locale ca loturi de pe lâ</w:t>
            </w:r>
            <w:r w:rsidRPr="00B86DC0">
              <w:rPr>
                <w:rFonts w:ascii="Times New Roman" w:hAnsi="Times New Roman" w:cs="Times New Roman"/>
                <w:sz w:val="28"/>
                <w:szCs w:val="28"/>
                <w:lang w:val="ro-RO"/>
              </w:rPr>
              <w:t>ngă domiciliu și distribuite în extravilan, din cauza insuficienței de terenuri în intravilan) în localitățile rurale;</w:t>
            </w:r>
          </w:p>
        </w:tc>
        <w:tc>
          <w:tcPr>
            <w:tcW w:w="1390" w:type="dxa"/>
          </w:tcPr>
          <w:p w:rsidR="005F705C" w:rsidRPr="00B86DC0" w:rsidRDefault="005F705C" w:rsidP="00FC68A8">
            <w:pPr>
              <w:rPr>
                <w:rFonts w:ascii="Times New Roman" w:hAnsi="Times New Roman" w:cs="Times New Roman"/>
                <w:sz w:val="28"/>
                <w:szCs w:val="28"/>
                <w:lang w:val="ro-RO"/>
              </w:rPr>
            </w:pPr>
          </w:p>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1 leu</w:t>
            </w:r>
          </w:p>
        </w:tc>
      </w:tr>
      <w:tr w:rsidR="005F705C" w:rsidRPr="00B86DC0" w:rsidTr="00D71F89">
        <w:trPr>
          <w:trHeight w:val="1408"/>
        </w:trPr>
        <w:tc>
          <w:tcPr>
            <w:tcW w:w="831" w:type="dxa"/>
            <w:vMerge/>
          </w:tcPr>
          <w:p w:rsidR="005F705C" w:rsidRPr="00B86DC0" w:rsidRDefault="005F705C" w:rsidP="00935A83">
            <w:pPr>
              <w:jc w:val="both"/>
              <w:rPr>
                <w:rFonts w:ascii="Times New Roman" w:hAnsi="Times New Roman" w:cs="Times New Roman"/>
                <w:sz w:val="28"/>
                <w:szCs w:val="28"/>
                <w:lang w:val="ro-RO"/>
              </w:rPr>
            </w:pPr>
          </w:p>
        </w:tc>
        <w:tc>
          <w:tcPr>
            <w:tcW w:w="6968" w:type="dxa"/>
          </w:tcPr>
          <w:p w:rsidR="005F705C" w:rsidRPr="00B86DC0" w:rsidRDefault="005F705C" w:rsidP="00935A83">
            <w:pPr>
              <w:pStyle w:val="a8"/>
              <w:numPr>
                <w:ilvl w:val="0"/>
                <w:numId w:val="4"/>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atribuite de către autoritatea administrației p</w:t>
            </w:r>
            <w:r w:rsidR="00B5781C">
              <w:rPr>
                <w:rFonts w:ascii="Times New Roman" w:hAnsi="Times New Roman" w:cs="Times New Roman"/>
                <w:sz w:val="28"/>
                <w:szCs w:val="28"/>
                <w:lang w:val="ro-RO"/>
              </w:rPr>
              <w:t>ublice locale ca loturi de pe lâ</w:t>
            </w:r>
            <w:r w:rsidRPr="00B86DC0">
              <w:rPr>
                <w:rFonts w:ascii="Times New Roman" w:hAnsi="Times New Roman" w:cs="Times New Roman"/>
                <w:sz w:val="28"/>
                <w:szCs w:val="28"/>
                <w:lang w:val="ro-RO"/>
              </w:rPr>
              <w:t>ngă domiciliu și distribuite în extravilan din cauza insuficienței de terenuri în intravilan, neevaluate de către organele cadastrale teritoriale conform valorii estimate. (Grădini);</w:t>
            </w:r>
          </w:p>
        </w:tc>
        <w:tc>
          <w:tcPr>
            <w:tcW w:w="1390" w:type="dxa"/>
          </w:tcPr>
          <w:p w:rsidR="005F705C" w:rsidRPr="00B86DC0" w:rsidRDefault="007B43CC" w:rsidP="00935A83">
            <w:pPr>
              <w:jc w:val="both"/>
              <w:rPr>
                <w:rFonts w:ascii="Times New Roman" w:hAnsi="Times New Roman" w:cs="Times New Roman"/>
                <w:sz w:val="28"/>
                <w:szCs w:val="28"/>
                <w:lang w:val="ro-RO"/>
              </w:rPr>
            </w:pPr>
            <w:r>
              <w:rPr>
                <w:rFonts w:ascii="Times New Roman" w:hAnsi="Times New Roman" w:cs="Times New Roman"/>
                <w:sz w:val="28"/>
                <w:szCs w:val="28"/>
                <w:lang w:val="ro-RO"/>
              </w:rPr>
              <w:t>1 leu</w:t>
            </w:r>
          </w:p>
        </w:tc>
      </w:tr>
      <w:tr w:rsidR="005F705C" w:rsidRPr="00B86DC0" w:rsidTr="00D71F89">
        <w:trPr>
          <w:trHeight w:val="544"/>
        </w:trPr>
        <w:tc>
          <w:tcPr>
            <w:tcW w:w="831" w:type="dxa"/>
            <w:vMerge/>
          </w:tcPr>
          <w:p w:rsidR="005F705C" w:rsidRPr="00B86DC0" w:rsidRDefault="005F705C" w:rsidP="00935A83">
            <w:pPr>
              <w:jc w:val="both"/>
              <w:rPr>
                <w:rFonts w:ascii="Times New Roman" w:hAnsi="Times New Roman" w:cs="Times New Roman"/>
                <w:sz w:val="28"/>
                <w:szCs w:val="28"/>
                <w:lang w:val="ro-RO"/>
              </w:rPr>
            </w:pPr>
          </w:p>
        </w:tc>
        <w:tc>
          <w:tcPr>
            <w:tcW w:w="6968" w:type="dxa"/>
          </w:tcPr>
          <w:p w:rsidR="005F705C" w:rsidRPr="00B86DC0" w:rsidRDefault="005F705C" w:rsidP="00935A83">
            <w:pPr>
              <w:pStyle w:val="a8"/>
              <w:numPr>
                <w:ilvl w:val="0"/>
                <w:numId w:val="4"/>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destinate întreprinderilor agricole, alte terenuri neevaluate de către organele cadastrale teritoriale conform valorii estimate.</w:t>
            </w:r>
          </w:p>
        </w:tc>
        <w:tc>
          <w:tcPr>
            <w:tcW w:w="1390" w:type="dxa"/>
          </w:tcPr>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 </w:t>
            </w:r>
          </w:p>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10 lei</w:t>
            </w:r>
          </w:p>
        </w:tc>
      </w:tr>
      <w:tr w:rsidR="005F705C" w:rsidRPr="00B86DC0" w:rsidTr="00D71F89">
        <w:trPr>
          <w:trHeight w:val="544"/>
        </w:trPr>
        <w:tc>
          <w:tcPr>
            <w:tcW w:w="831" w:type="dxa"/>
            <w:vMerge w:val="restart"/>
          </w:tcPr>
          <w:p w:rsidR="005F705C" w:rsidRPr="00B86DC0" w:rsidRDefault="005F705C"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8.</w:t>
            </w:r>
          </w:p>
        </w:tc>
        <w:tc>
          <w:tcPr>
            <w:tcW w:w="6968" w:type="dxa"/>
          </w:tcPr>
          <w:p w:rsidR="005F705C" w:rsidRPr="00B86DC0" w:rsidRDefault="005F705C" w:rsidP="00935A83">
            <w:pPr>
              <w:jc w:val="both"/>
              <w:rPr>
                <w:rFonts w:ascii="Times New Roman" w:hAnsi="Times New Roman" w:cs="Times New Roman"/>
                <w:b/>
                <w:sz w:val="28"/>
                <w:szCs w:val="28"/>
                <w:lang w:val="ro-RO"/>
              </w:rPr>
            </w:pPr>
            <w:r w:rsidRPr="00B86DC0">
              <w:rPr>
                <w:rFonts w:ascii="Times New Roman" w:hAnsi="Times New Roman" w:cs="Times New Roman"/>
                <w:b/>
                <w:sz w:val="28"/>
                <w:szCs w:val="28"/>
                <w:lang w:val="ro-RO"/>
              </w:rPr>
              <w:t>Terenurile din extravilan, inclusiv:</w:t>
            </w:r>
          </w:p>
          <w:p w:rsidR="005F705C" w:rsidRPr="00B86DC0" w:rsidRDefault="005F705C" w:rsidP="007B43CC">
            <w:pPr>
              <w:pStyle w:val="a8"/>
              <w:numPr>
                <w:ilvl w:val="0"/>
                <w:numId w:val="5"/>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pe care sunt amplasate clădiri și construcții, carierele și păm</w:t>
            </w:r>
            <w:r w:rsidR="007B43CC">
              <w:rPr>
                <w:rFonts w:ascii="Times New Roman" w:hAnsi="Times New Roman" w:cs="Times New Roman"/>
                <w:sz w:val="28"/>
                <w:szCs w:val="28"/>
                <w:lang w:val="ro-RO"/>
              </w:rPr>
              <w:t>â</w:t>
            </w:r>
            <w:r w:rsidRPr="00B86DC0">
              <w:rPr>
                <w:rFonts w:ascii="Times New Roman" w:hAnsi="Times New Roman" w:cs="Times New Roman"/>
                <w:sz w:val="28"/>
                <w:szCs w:val="28"/>
                <w:lang w:val="ro-RO"/>
              </w:rPr>
              <w:t>nturile distruse în urma activității de producție, neevaluate de către organele cadastrale teritoriale conform valorii estimate;</w:t>
            </w:r>
          </w:p>
        </w:tc>
        <w:tc>
          <w:tcPr>
            <w:tcW w:w="1390" w:type="dxa"/>
          </w:tcPr>
          <w:p w:rsidR="005F705C" w:rsidRPr="00B86DC0" w:rsidRDefault="005F705C" w:rsidP="00FC68A8">
            <w:pPr>
              <w:rPr>
                <w:rFonts w:ascii="Times New Roman" w:hAnsi="Times New Roman" w:cs="Times New Roman"/>
                <w:sz w:val="28"/>
                <w:szCs w:val="28"/>
                <w:lang w:val="ro-RO"/>
              </w:rPr>
            </w:pPr>
          </w:p>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350 lei</w:t>
            </w:r>
          </w:p>
        </w:tc>
      </w:tr>
      <w:tr w:rsidR="005F705C" w:rsidRPr="00B86DC0" w:rsidTr="00D71F89">
        <w:trPr>
          <w:trHeight w:val="544"/>
        </w:trPr>
        <w:tc>
          <w:tcPr>
            <w:tcW w:w="831" w:type="dxa"/>
            <w:vMerge/>
          </w:tcPr>
          <w:p w:rsidR="005F705C" w:rsidRPr="00B86DC0" w:rsidRDefault="005F705C" w:rsidP="00935A83">
            <w:pPr>
              <w:jc w:val="both"/>
              <w:rPr>
                <w:rFonts w:ascii="Times New Roman" w:hAnsi="Times New Roman" w:cs="Times New Roman"/>
                <w:sz w:val="28"/>
                <w:szCs w:val="28"/>
                <w:lang w:val="ro-RO"/>
              </w:rPr>
            </w:pPr>
          </w:p>
        </w:tc>
        <w:tc>
          <w:tcPr>
            <w:tcW w:w="6968" w:type="dxa"/>
          </w:tcPr>
          <w:p w:rsidR="005F705C" w:rsidRPr="00B86DC0" w:rsidRDefault="005F705C" w:rsidP="007B43CC">
            <w:pPr>
              <w:pStyle w:val="a8"/>
              <w:numPr>
                <w:ilvl w:val="0"/>
                <w:numId w:val="5"/>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terenurile altele dec</w:t>
            </w:r>
            <w:r w:rsidR="007B43CC">
              <w:rPr>
                <w:rFonts w:ascii="Times New Roman" w:hAnsi="Times New Roman" w:cs="Times New Roman"/>
                <w:sz w:val="28"/>
                <w:szCs w:val="28"/>
                <w:lang w:val="ro-RO"/>
              </w:rPr>
              <w:t>â</w:t>
            </w:r>
            <w:r w:rsidRPr="00B86DC0">
              <w:rPr>
                <w:rFonts w:ascii="Times New Roman" w:hAnsi="Times New Roman" w:cs="Times New Roman"/>
                <w:sz w:val="28"/>
                <w:szCs w:val="28"/>
                <w:lang w:val="ro-RO"/>
              </w:rPr>
              <w:t>t cele specificate la alin.1), neevaluate de către organele cadastrale conform valorii estimate.</w:t>
            </w:r>
          </w:p>
        </w:tc>
        <w:tc>
          <w:tcPr>
            <w:tcW w:w="1390" w:type="dxa"/>
          </w:tcPr>
          <w:p w:rsidR="005F705C" w:rsidRDefault="005F705C" w:rsidP="00FC68A8">
            <w:pPr>
              <w:rPr>
                <w:rFonts w:ascii="Times New Roman" w:hAnsi="Times New Roman" w:cs="Times New Roman"/>
                <w:sz w:val="28"/>
                <w:szCs w:val="28"/>
                <w:lang w:val="ro-RO"/>
              </w:rPr>
            </w:pPr>
          </w:p>
          <w:p w:rsidR="005F705C" w:rsidRPr="00B86DC0" w:rsidRDefault="005F705C" w:rsidP="00FC68A8">
            <w:pPr>
              <w:rPr>
                <w:rFonts w:ascii="Times New Roman" w:hAnsi="Times New Roman" w:cs="Times New Roman"/>
                <w:sz w:val="28"/>
                <w:szCs w:val="28"/>
                <w:lang w:val="ro-RO"/>
              </w:rPr>
            </w:pPr>
            <w:r w:rsidRPr="00B86DC0">
              <w:rPr>
                <w:rFonts w:ascii="Times New Roman" w:hAnsi="Times New Roman" w:cs="Times New Roman"/>
                <w:sz w:val="28"/>
                <w:szCs w:val="28"/>
                <w:lang w:val="ro-RO"/>
              </w:rPr>
              <w:t>70 lei</w:t>
            </w:r>
          </w:p>
        </w:tc>
      </w:tr>
      <w:tr w:rsidR="00935A83" w:rsidRPr="0083694D" w:rsidTr="00147A70">
        <w:trPr>
          <w:trHeight w:val="544"/>
        </w:trPr>
        <w:tc>
          <w:tcPr>
            <w:tcW w:w="9189" w:type="dxa"/>
            <w:gridSpan w:val="3"/>
          </w:tcPr>
          <w:p w:rsidR="00935A83" w:rsidRPr="00B86DC0" w:rsidRDefault="00935A83" w:rsidP="00935A83">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                      </w:t>
            </w:r>
            <w:r w:rsidRPr="00B86DC0">
              <w:rPr>
                <w:rFonts w:ascii="Times New Roman" w:hAnsi="Times New Roman" w:cs="Times New Roman"/>
                <w:b/>
                <w:sz w:val="28"/>
                <w:szCs w:val="28"/>
                <w:lang w:val="ro-RO"/>
              </w:rPr>
              <w:t>Cotele concrete la impozitul pe bunurile imobiliare</w:t>
            </w:r>
          </w:p>
          <w:p w:rsidR="00935A83" w:rsidRPr="00B86DC0" w:rsidRDefault="005F705C" w:rsidP="000A7A25">
            <w:pPr>
              <w:jc w:val="both"/>
              <w:rPr>
                <w:rFonts w:ascii="Times New Roman" w:hAnsi="Times New Roman" w:cs="Times New Roman"/>
                <w:sz w:val="28"/>
                <w:szCs w:val="28"/>
                <w:lang w:val="ro-RO"/>
              </w:rPr>
            </w:pPr>
            <w:r>
              <w:rPr>
                <w:rFonts w:ascii="Times New Roman" w:hAnsi="Times New Roman" w:cs="Times New Roman"/>
                <w:sz w:val="28"/>
                <w:szCs w:val="28"/>
                <w:lang w:val="ro-RO"/>
              </w:rPr>
              <w:t>p</w:t>
            </w:r>
            <w:r w:rsidR="00935A83" w:rsidRPr="00B86DC0">
              <w:rPr>
                <w:rFonts w:ascii="Times New Roman" w:hAnsi="Times New Roman" w:cs="Times New Roman"/>
                <w:sz w:val="28"/>
                <w:szCs w:val="28"/>
                <w:lang w:val="ro-RO"/>
              </w:rPr>
              <w:t>entru clădirile, construcțiile, casele de locuit individuale, apartamentele și alte încăperi izolate, inclusiv cele aflate la o etapă de finisare a construcției de 50% și mai mult, rămase nefinisate timp de 3 ani după începutul lucrărilor de construcție</w:t>
            </w:r>
            <w:r>
              <w:rPr>
                <w:rFonts w:ascii="Times New Roman" w:hAnsi="Times New Roman" w:cs="Times New Roman"/>
                <w:sz w:val="28"/>
                <w:szCs w:val="28"/>
                <w:lang w:val="ro-RO"/>
              </w:rPr>
              <w:t xml:space="preserve"> </w:t>
            </w:r>
            <w:r w:rsidR="00935A83" w:rsidRPr="00B86DC0">
              <w:rPr>
                <w:rFonts w:ascii="Times New Roman" w:hAnsi="Times New Roman" w:cs="Times New Roman"/>
                <w:b/>
                <w:sz w:val="28"/>
                <w:szCs w:val="28"/>
                <w:lang w:val="ro-RO"/>
              </w:rPr>
              <w:t>neevaluate de către organele cadastrale în scopul impozitării</w:t>
            </w:r>
            <w:r>
              <w:rPr>
                <w:rFonts w:ascii="Times New Roman" w:hAnsi="Times New Roman" w:cs="Times New Roman"/>
                <w:sz w:val="28"/>
                <w:szCs w:val="28"/>
                <w:lang w:val="ro-RO"/>
              </w:rPr>
              <w:t xml:space="preserve"> </w:t>
            </w:r>
            <w:r w:rsidR="00935A83" w:rsidRPr="00B86DC0">
              <w:rPr>
                <w:rFonts w:ascii="Times New Roman" w:hAnsi="Times New Roman" w:cs="Times New Roman"/>
                <w:i/>
                <w:sz w:val="28"/>
                <w:szCs w:val="28"/>
                <w:lang w:val="ro-RO"/>
              </w:rPr>
              <w:t>(conform Anexei. 2 la Legea pentru punerea în aplicar</w:t>
            </w:r>
            <w:r w:rsidR="00764406" w:rsidRPr="00B86DC0">
              <w:rPr>
                <w:rFonts w:ascii="Times New Roman" w:hAnsi="Times New Roman" w:cs="Times New Roman"/>
                <w:i/>
                <w:sz w:val="28"/>
                <w:szCs w:val="28"/>
                <w:lang w:val="ro-RO"/>
              </w:rPr>
              <w:t xml:space="preserve">e a titlul VI din Codul fiscal  </w:t>
            </w:r>
            <w:r w:rsidR="00935A83" w:rsidRPr="00B86DC0">
              <w:rPr>
                <w:rFonts w:ascii="Times New Roman" w:hAnsi="Times New Roman" w:cs="Times New Roman"/>
                <w:i/>
                <w:sz w:val="28"/>
                <w:szCs w:val="28"/>
                <w:lang w:val="ro-RO"/>
              </w:rPr>
              <w:t>nr.</w:t>
            </w:r>
            <w:r w:rsidR="00764406" w:rsidRPr="00B86DC0">
              <w:rPr>
                <w:rFonts w:ascii="Times New Roman" w:hAnsi="Times New Roman" w:cs="Times New Roman"/>
                <w:i/>
                <w:sz w:val="28"/>
                <w:szCs w:val="28"/>
                <w:lang w:val="ro-RO"/>
              </w:rPr>
              <w:t xml:space="preserve"> 1056</w:t>
            </w:r>
            <w:r>
              <w:rPr>
                <w:rFonts w:ascii="Times New Roman" w:hAnsi="Times New Roman" w:cs="Times New Roman"/>
                <w:i/>
                <w:sz w:val="28"/>
                <w:szCs w:val="28"/>
                <w:lang w:val="ro-RO"/>
              </w:rPr>
              <w:t xml:space="preserve"> </w:t>
            </w:r>
            <w:r w:rsidR="00764406" w:rsidRPr="00B86DC0">
              <w:rPr>
                <w:rFonts w:ascii="Times New Roman" w:hAnsi="Times New Roman" w:cs="Times New Roman"/>
                <w:i/>
                <w:sz w:val="28"/>
                <w:szCs w:val="28"/>
                <w:lang w:val="ro-RO"/>
              </w:rPr>
              <w:t>din  16.06.2000</w:t>
            </w:r>
            <w:r w:rsidR="00FE4B58" w:rsidRPr="00B86DC0">
              <w:rPr>
                <w:rFonts w:ascii="Times New Roman" w:hAnsi="Times New Roman" w:cs="Times New Roman"/>
                <w:i/>
                <w:sz w:val="28"/>
                <w:szCs w:val="28"/>
                <w:lang w:val="ro-RO"/>
              </w:rPr>
              <w:t>)</w:t>
            </w:r>
          </w:p>
        </w:tc>
      </w:tr>
      <w:tr w:rsidR="00D71F89" w:rsidRPr="007B43CC" w:rsidTr="00D71F89">
        <w:trPr>
          <w:trHeight w:val="966"/>
        </w:trPr>
        <w:tc>
          <w:tcPr>
            <w:tcW w:w="831" w:type="dxa"/>
            <w:vMerge w:val="restart"/>
          </w:tcPr>
          <w:p w:rsidR="00D71F89" w:rsidRPr="00B86DC0" w:rsidRDefault="00D71F89" w:rsidP="001C626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9.</w:t>
            </w:r>
          </w:p>
        </w:tc>
        <w:tc>
          <w:tcPr>
            <w:tcW w:w="6968" w:type="dxa"/>
            <w:vMerge w:val="restart"/>
          </w:tcPr>
          <w:p w:rsidR="00D71F89" w:rsidRPr="00B86DC0" w:rsidRDefault="00D71F89" w:rsidP="00764406">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clădirile și construcțiile cu destinație agricolă, precum și pe alte bunuri imobiliare, neevaluate de către organele cadastrale teritoriale conform valorii estimate, cu excepția celor prevăzute în pct.10 și pct.11, inclusiv:</w:t>
            </w:r>
          </w:p>
          <w:p w:rsidR="00D71F89" w:rsidRPr="00B86DC0" w:rsidRDefault="00D71F89" w:rsidP="00764406">
            <w:pPr>
              <w:pStyle w:val="a8"/>
              <w:numPr>
                <w:ilvl w:val="0"/>
                <w:numId w:val="7"/>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persoanele juridice și fizice care desfășoară activitatea de întreprinzător;</w:t>
            </w:r>
          </w:p>
          <w:p w:rsidR="00D71F89" w:rsidRPr="00B86DC0" w:rsidRDefault="00D71F89" w:rsidP="007B43CC">
            <w:pPr>
              <w:pStyle w:val="a8"/>
              <w:numPr>
                <w:ilvl w:val="0"/>
                <w:numId w:val="7"/>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 pentru persoanele fizice, altele dec</w:t>
            </w:r>
            <w:r w:rsidR="007B43CC">
              <w:rPr>
                <w:rFonts w:ascii="Times New Roman" w:hAnsi="Times New Roman" w:cs="Times New Roman"/>
                <w:sz w:val="28"/>
                <w:szCs w:val="28"/>
                <w:lang w:val="ro-RO"/>
              </w:rPr>
              <w:t>â</w:t>
            </w:r>
            <w:r w:rsidRPr="00B86DC0">
              <w:rPr>
                <w:rFonts w:ascii="Times New Roman" w:hAnsi="Times New Roman" w:cs="Times New Roman"/>
                <w:sz w:val="28"/>
                <w:szCs w:val="28"/>
                <w:lang w:val="ro-RO"/>
              </w:rPr>
              <w:t>t cele specificate la lit. a)</w:t>
            </w:r>
          </w:p>
        </w:tc>
        <w:tc>
          <w:tcPr>
            <w:tcW w:w="1390" w:type="dxa"/>
          </w:tcPr>
          <w:p w:rsidR="00D71F89" w:rsidRPr="00B86DC0" w:rsidRDefault="00D71F89" w:rsidP="001C626C">
            <w:pPr>
              <w:jc w:val="both"/>
              <w:rPr>
                <w:rFonts w:ascii="Times New Roman" w:hAnsi="Times New Roman" w:cs="Times New Roman"/>
                <w:sz w:val="28"/>
                <w:szCs w:val="28"/>
                <w:lang w:val="ro-RO"/>
              </w:rPr>
            </w:pPr>
          </w:p>
          <w:p w:rsidR="00D71F89" w:rsidRPr="00B86DC0" w:rsidRDefault="007B43CC" w:rsidP="007B43CC">
            <w:pPr>
              <w:rPr>
                <w:rFonts w:ascii="Times New Roman" w:hAnsi="Times New Roman" w:cs="Times New Roman"/>
                <w:sz w:val="28"/>
                <w:szCs w:val="28"/>
                <w:lang w:val="ro-RO"/>
              </w:rPr>
            </w:pPr>
            <w:r>
              <w:rPr>
                <w:rFonts w:ascii="Times New Roman" w:hAnsi="Times New Roman" w:cs="Times New Roman"/>
                <w:sz w:val="28"/>
                <w:szCs w:val="28"/>
                <w:lang w:val="ro-RO"/>
              </w:rPr>
              <w:t>0,1%</w:t>
            </w:r>
          </w:p>
          <w:p w:rsidR="00D71F89" w:rsidRPr="00B86DC0" w:rsidRDefault="00D71F89" w:rsidP="001C626C">
            <w:pPr>
              <w:jc w:val="center"/>
              <w:rPr>
                <w:rFonts w:ascii="Times New Roman" w:hAnsi="Times New Roman" w:cs="Times New Roman"/>
                <w:sz w:val="28"/>
                <w:szCs w:val="28"/>
                <w:lang w:val="ro-RO"/>
              </w:rPr>
            </w:pPr>
          </w:p>
          <w:p w:rsidR="00D71F89" w:rsidRPr="00B86DC0" w:rsidRDefault="00D71F89" w:rsidP="001C626C">
            <w:pPr>
              <w:jc w:val="center"/>
              <w:rPr>
                <w:rFonts w:ascii="Times New Roman" w:hAnsi="Times New Roman" w:cs="Times New Roman"/>
                <w:sz w:val="28"/>
                <w:szCs w:val="28"/>
                <w:lang w:val="ro-RO"/>
              </w:rPr>
            </w:pPr>
          </w:p>
          <w:p w:rsidR="00D71F89" w:rsidRPr="00B86DC0" w:rsidRDefault="00D71F89" w:rsidP="00D71F89">
            <w:pPr>
              <w:rPr>
                <w:rFonts w:ascii="Times New Roman" w:hAnsi="Times New Roman" w:cs="Times New Roman"/>
                <w:sz w:val="28"/>
                <w:szCs w:val="28"/>
                <w:lang w:val="ro-RO"/>
              </w:rPr>
            </w:pPr>
          </w:p>
        </w:tc>
      </w:tr>
      <w:tr w:rsidR="00D71F89" w:rsidRPr="007B43CC" w:rsidTr="00D71F89">
        <w:trPr>
          <w:trHeight w:val="966"/>
        </w:trPr>
        <w:tc>
          <w:tcPr>
            <w:tcW w:w="831" w:type="dxa"/>
            <w:vMerge/>
          </w:tcPr>
          <w:p w:rsidR="00D71F89" w:rsidRPr="00B86DC0" w:rsidRDefault="00D71F89" w:rsidP="001C626C">
            <w:pPr>
              <w:jc w:val="both"/>
              <w:rPr>
                <w:rFonts w:ascii="Times New Roman" w:hAnsi="Times New Roman" w:cs="Times New Roman"/>
                <w:sz w:val="28"/>
                <w:szCs w:val="28"/>
                <w:lang w:val="ro-RO"/>
              </w:rPr>
            </w:pPr>
          </w:p>
        </w:tc>
        <w:tc>
          <w:tcPr>
            <w:tcW w:w="6968" w:type="dxa"/>
            <w:vMerge/>
          </w:tcPr>
          <w:p w:rsidR="00D71F89" w:rsidRPr="00B86DC0" w:rsidRDefault="00D71F89" w:rsidP="00764406">
            <w:pPr>
              <w:jc w:val="both"/>
              <w:rPr>
                <w:rFonts w:ascii="Times New Roman" w:hAnsi="Times New Roman" w:cs="Times New Roman"/>
                <w:sz w:val="28"/>
                <w:szCs w:val="28"/>
                <w:lang w:val="ro-RO"/>
              </w:rPr>
            </w:pP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0,1%</w:t>
            </w:r>
          </w:p>
        </w:tc>
      </w:tr>
      <w:tr w:rsidR="00D71F89" w:rsidRPr="007B43CC" w:rsidTr="00D71F89">
        <w:trPr>
          <w:trHeight w:val="690"/>
        </w:trPr>
        <w:tc>
          <w:tcPr>
            <w:tcW w:w="831" w:type="dxa"/>
            <w:vMerge w:val="restart"/>
          </w:tcPr>
          <w:p w:rsidR="00D71F89" w:rsidRPr="00B86DC0" w:rsidRDefault="00D71F89" w:rsidP="001C626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 xml:space="preserve">10. </w:t>
            </w:r>
          </w:p>
        </w:tc>
        <w:tc>
          <w:tcPr>
            <w:tcW w:w="6968" w:type="dxa"/>
            <w:vMerge w:val="restart"/>
          </w:tcPr>
          <w:p w:rsidR="00D71F89" w:rsidRPr="00B86DC0" w:rsidRDefault="00D71F89" w:rsidP="00764406">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bunurile imobiliare, cu excepția celor prevăzute în pct. 9 și pct.11, inclusiv:</w:t>
            </w:r>
          </w:p>
          <w:p w:rsidR="00D71F89" w:rsidRPr="00B86DC0" w:rsidRDefault="00D71F89" w:rsidP="00CE39D0">
            <w:pPr>
              <w:pStyle w:val="a8"/>
              <w:numPr>
                <w:ilvl w:val="0"/>
                <w:numId w:val="8"/>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persoanele juridice și fizice care desfășoară activitatea de întreprinzător;</w:t>
            </w:r>
          </w:p>
          <w:p w:rsidR="00D71F89" w:rsidRPr="00B86DC0" w:rsidRDefault="007B43CC" w:rsidP="007B43CC">
            <w:pPr>
              <w:pStyle w:val="a8"/>
              <w:numPr>
                <w:ilvl w:val="0"/>
                <w:numId w:val="8"/>
              </w:numPr>
              <w:jc w:val="both"/>
              <w:rPr>
                <w:rFonts w:ascii="Times New Roman" w:hAnsi="Times New Roman" w:cs="Times New Roman"/>
                <w:sz w:val="28"/>
                <w:szCs w:val="28"/>
                <w:lang w:val="ro-RO"/>
              </w:rPr>
            </w:pPr>
            <w:r>
              <w:rPr>
                <w:rFonts w:ascii="Times New Roman" w:hAnsi="Times New Roman" w:cs="Times New Roman"/>
                <w:sz w:val="28"/>
                <w:szCs w:val="28"/>
                <w:lang w:val="ro-RO"/>
              </w:rPr>
              <w:t>Persoanele fizice</w:t>
            </w:r>
            <w:r w:rsidR="00D71F89" w:rsidRPr="00B86DC0">
              <w:rPr>
                <w:rFonts w:ascii="Times New Roman" w:hAnsi="Times New Roman" w:cs="Times New Roman"/>
                <w:sz w:val="28"/>
                <w:szCs w:val="28"/>
                <w:lang w:val="ro-RO"/>
              </w:rPr>
              <w:t>, altele dec</w:t>
            </w:r>
            <w:r>
              <w:rPr>
                <w:rFonts w:ascii="Times New Roman" w:hAnsi="Times New Roman" w:cs="Times New Roman"/>
                <w:sz w:val="28"/>
                <w:szCs w:val="28"/>
                <w:lang w:val="ro-RO"/>
              </w:rPr>
              <w:t>ât cele specificate la lit. a)</w:t>
            </w: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0,3%</w:t>
            </w:r>
          </w:p>
          <w:p w:rsidR="00D71F89" w:rsidRPr="00B86DC0" w:rsidRDefault="00D71F89" w:rsidP="001C626C">
            <w:pPr>
              <w:jc w:val="both"/>
              <w:rPr>
                <w:rFonts w:ascii="Times New Roman" w:hAnsi="Times New Roman" w:cs="Times New Roman"/>
                <w:sz w:val="28"/>
                <w:szCs w:val="28"/>
                <w:lang w:val="ro-RO"/>
              </w:rPr>
            </w:pPr>
          </w:p>
          <w:p w:rsidR="00D71F89" w:rsidRPr="00B86DC0" w:rsidRDefault="00D71F89" w:rsidP="001C626C">
            <w:pPr>
              <w:jc w:val="both"/>
              <w:rPr>
                <w:rFonts w:ascii="Times New Roman" w:hAnsi="Times New Roman" w:cs="Times New Roman"/>
                <w:sz w:val="28"/>
                <w:szCs w:val="28"/>
                <w:lang w:val="ro-RO"/>
              </w:rPr>
            </w:pPr>
          </w:p>
          <w:p w:rsidR="00D71F89" w:rsidRPr="00B86DC0" w:rsidRDefault="00D71F89" w:rsidP="001C626C">
            <w:pPr>
              <w:jc w:val="both"/>
              <w:rPr>
                <w:rFonts w:ascii="Times New Roman" w:hAnsi="Times New Roman" w:cs="Times New Roman"/>
                <w:sz w:val="28"/>
                <w:szCs w:val="28"/>
                <w:lang w:val="ro-RO"/>
              </w:rPr>
            </w:pPr>
          </w:p>
        </w:tc>
      </w:tr>
      <w:tr w:rsidR="00D71F89" w:rsidRPr="007B43CC" w:rsidTr="005F705C">
        <w:trPr>
          <w:trHeight w:val="509"/>
        </w:trPr>
        <w:tc>
          <w:tcPr>
            <w:tcW w:w="831" w:type="dxa"/>
            <w:vMerge/>
          </w:tcPr>
          <w:p w:rsidR="00D71F89" w:rsidRPr="00B86DC0" w:rsidRDefault="00D71F89" w:rsidP="001C626C">
            <w:pPr>
              <w:jc w:val="both"/>
              <w:rPr>
                <w:rFonts w:ascii="Times New Roman" w:hAnsi="Times New Roman" w:cs="Times New Roman"/>
                <w:sz w:val="28"/>
                <w:szCs w:val="28"/>
                <w:lang w:val="ro-RO"/>
              </w:rPr>
            </w:pPr>
          </w:p>
        </w:tc>
        <w:tc>
          <w:tcPr>
            <w:tcW w:w="6968" w:type="dxa"/>
            <w:vMerge/>
          </w:tcPr>
          <w:p w:rsidR="00D71F89" w:rsidRPr="00B86DC0" w:rsidRDefault="00D71F89" w:rsidP="00764406">
            <w:pPr>
              <w:jc w:val="both"/>
              <w:rPr>
                <w:rFonts w:ascii="Times New Roman" w:hAnsi="Times New Roman" w:cs="Times New Roman"/>
                <w:sz w:val="28"/>
                <w:szCs w:val="28"/>
                <w:lang w:val="ro-RO"/>
              </w:rPr>
            </w:pP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0,3%</w:t>
            </w:r>
          </w:p>
        </w:tc>
      </w:tr>
      <w:tr w:rsidR="00D71F89" w:rsidRPr="007B43CC" w:rsidTr="00D71F89">
        <w:trPr>
          <w:trHeight w:val="690"/>
        </w:trPr>
        <w:tc>
          <w:tcPr>
            <w:tcW w:w="831" w:type="dxa"/>
            <w:vMerge w:val="restart"/>
          </w:tcPr>
          <w:p w:rsidR="00D71F89" w:rsidRPr="00B86DC0" w:rsidRDefault="00D71F89" w:rsidP="001C626C">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11.</w:t>
            </w:r>
          </w:p>
        </w:tc>
        <w:tc>
          <w:tcPr>
            <w:tcW w:w="6968" w:type="dxa"/>
            <w:vMerge w:val="restart"/>
          </w:tcPr>
          <w:p w:rsidR="00D71F89" w:rsidRPr="00B86DC0" w:rsidRDefault="00D71F89" w:rsidP="00764406">
            <w:p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Bunurile imobiliare cu destinație locativă (apartamente și case de locuit individuale) din localitățile rurale se stabilesc după cum urmează:</w:t>
            </w:r>
          </w:p>
          <w:p w:rsidR="00D71F89" w:rsidRPr="00B86DC0" w:rsidRDefault="00D71F89" w:rsidP="00147A70">
            <w:pPr>
              <w:pStyle w:val="a8"/>
              <w:numPr>
                <w:ilvl w:val="0"/>
                <w:numId w:val="9"/>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Pentru persoanele juridice și fizice care desfășoară activitatea de întreprinzător;</w:t>
            </w:r>
          </w:p>
          <w:p w:rsidR="00D71F89" w:rsidRPr="00B86DC0" w:rsidRDefault="00D71F89" w:rsidP="007B43CC">
            <w:pPr>
              <w:pStyle w:val="a8"/>
              <w:numPr>
                <w:ilvl w:val="0"/>
                <w:numId w:val="9"/>
              </w:numPr>
              <w:jc w:val="both"/>
              <w:rPr>
                <w:rFonts w:ascii="Times New Roman" w:hAnsi="Times New Roman" w:cs="Times New Roman"/>
                <w:sz w:val="28"/>
                <w:szCs w:val="28"/>
                <w:lang w:val="ro-RO"/>
              </w:rPr>
            </w:pPr>
            <w:r w:rsidRPr="00B86DC0">
              <w:rPr>
                <w:rFonts w:ascii="Times New Roman" w:hAnsi="Times New Roman" w:cs="Times New Roman"/>
                <w:sz w:val="28"/>
                <w:szCs w:val="28"/>
                <w:lang w:val="ro-RO"/>
              </w:rPr>
              <w:t>Persoanele fizice, altele dec</w:t>
            </w:r>
            <w:r w:rsidR="007B43CC">
              <w:rPr>
                <w:rFonts w:ascii="Times New Roman" w:hAnsi="Times New Roman" w:cs="Times New Roman"/>
                <w:sz w:val="28"/>
                <w:szCs w:val="28"/>
                <w:lang w:val="ro-RO"/>
              </w:rPr>
              <w:t>â</w:t>
            </w:r>
            <w:r w:rsidRPr="00B86DC0">
              <w:rPr>
                <w:rFonts w:ascii="Times New Roman" w:hAnsi="Times New Roman" w:cs="Times New Roman"/>
                <w:sz w:val="28"/>
                <w:szCs w:val="28"/>
                <w:lang w:val="ro-RO"/>
              </w:rPr>
              <w:t>t cele specificate la lit. a)</w:t>
            </w: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0,1%</w:t>
            </w:r>
          </w:p>
          <w:p w:rsidR="00D71F89" w:rsidRPr="00B86DC0" w:rsidRDefault="00D71F89" w:rsidP="001C626C">
            <w:pPr>
              <w:jc w:val="both"/>
              <w:rPr>
                <w:rFonts w:ascii="Times New Roman" w:hAnsi="Times New Roman" w:cs="Times New Roman"/>
                <w:sz w:val="28"/>
                <w:szCs w:val="28"/>
                <w:lang w:val="ro-RO"/>
              </w:rPr>
            </w:pPr>
          </w:p>
          <w:p w:rsidR="00D71F89" w:rsidRPr="00B86DC0" w:rsidRDefault="00D71F89" w:rsidP="001C626C">
            <w:pPr>
              <w:jc w:val="both"/>
              <w:rPr>
                <w:rFonts w:ascii="Times New Roman" w:hAnsi="Times New Roman" w:cs="Times New Roman"/>
                <w:sz w:val="28"/>
                <w:szCs w:val="28"/>
                <w:lang w:val="ro-RO"/>
              </w:rPr>
            </w:pPr>
          </w:p>
          <w:p w:rsidR="007B43CC" w:rsidRPr="00B86DC0" w:rsidRDefault="007B43CC" w:rsidP="001C626C">
            <w:pPr>
              <w:jc w:val="both"/>
              <w:rPr>
                <w:rFonts w:ascii="Times New Roman" w:hAnsi="Times New Roman" w:cs="Times New Roman"/>
                <w:sz w:val="28"/>
                <w:szCs w:val="28"/>
                <w:lang w:val="ro-RO"/>
              </w:rPr>
            </w:pPr>
          </w:p>
        </w:tc>
      </w:tr>
      <w:tr w:rsidR="00D71F89" w:rsidRPr="007B43CC" w:rsidTr="00D71F89">
        <w:trPr>
          <w:trHeight w:val="690"/>
        </w:trPr>
        <w:tc>
          <w:tcPr>
            <w:tcW w:w="831" w:type="dxa"/>
            <w:vMerge/>
          </w:tcPr>
          <w:p w:rsidR="00D71F89" w:rsidRPr="00B86DC0" w:rsidRDefault="00D71F89" w:rsidP="001C626C">
            <w:pPr>
              <w:jc w:val="both"/>
              <w:rPr>
                <w:rFonts w:ascii="Times New Roman" w:hAnsi="Times New Roman" w:cs="Times New Roman"/>
                <w:sz w:val="28"/>
                <w:szCs w:val="28"/>
                <w:lang w:val="ro-RO"/>
              </w:rPr>
            </w:pPr>
          </w:p>
        </w:tc>
        <w:tc>
          <w:tcPr>
            <w:tcW w:w="6968" w:type="dxa"/>
            <w:vMerge/>
          </w:tcPr>
          <w:p w:rsidR="00D71F89" w:rsidRPr="00B86DC0" w:rsidRDefault="00D71F89" w:rsidP="00764406">
            <w:pPr>
              <w:jc w:val="both"/>
              <w:rPr>
                <w:rFonts w:ascii="Times New Roman" w:hAnsi="Times New Roman" w:cs="Times New Roman"/>
                <w:sz w:val="28"/>
                <w:szCs w:val="28"/>
                <w:lang w:val="ro-RO"/>
              </w:rPr>
            </w:pPr>
          </w:p>
        </w:tc>
        <w:tc>
          <w:tcPr>
            <w:tcW w:w="1390" w:type="dxa"/>
          </w:tcPr>
          <w:p w:rsidR="00D71F89" w:rsidRPr="00B86DC0" w:rsidRDefault="007B43CC" w:rsidP="001C626C">
            <w:pPr>
              <w:jc w:val="both"/>
              <w:rPr>
                <w:rFonts w:ascii="Times New Roman" w:hAnsi="Times New Roman" w:cs="Times New Roman"/>
                <w:sz w:val="28"/>
                <w:szCs w:val="28"/>
                <w:lang w:val="ro-RO"/>
              </w:rPr>
            </w:pPr>
            <w:r>
              <w:rPr>
                <w:rFonts w:ascii="Times New Roman" w:hAnsi="Times New Roman" w:cs="Times New Roman"/>
                <w:sz w:val="28"/>
                <w:szCs w:val="28"/>
                <w:lang w:val="ro-RO"/>
              </w:rPr>
              <w:t>0,1%</w:t>
            </w:r>
          </w:p>
        </w:tc>
      </w:tr>
    </w:tbl>
    <w:p w:rsidR="00E95FFC" w:rsidRPr="00B86DC0" w:rsidRDefault="00E95FFC" w:rsidP="00E95FFC">
      <w:pPr>
        <w:spacing w:line="240" w:lineRule="auto"/>
        <w:jc w:val="both"/>
        <w:rPr>
          <w:rFonts w:ascii="Times New Roman" w:hAnsi="Times New Roman" w:cs="Times New Roman"/>
          <w:sz w:val="28"/>
          <w:szCs w:val="28"/>
          <w:lang w:val="ro-RO"/>
        </w:rPr>
      </w:pPr>
    </w:p>
    <w:sectPr w:rsidR="00E95FFC" w:rsidRPr="00B86DC0" w:rsidSect="00227A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9DD" w:rsidRDefault="001249DD" w:rsidP="00956F68">
      <w:pPr>
        <w:spacing w:after="0" w:line="240" w:lineRule="auto"/>
      </w:pPr>
      <w:r>
        <w:separator/>
      </w:r>
    </w:p>
  </w:endnote>
  <w:endnote w:type="continuationSeparator" w:id="0">
    <w:p w:rsidR="001249DD" w:rsidRDefault="001249DD" w:rsidP="0095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9DD" w:rsidRDefault="001249DD" w:rsidP="00956F68">
      <w:pPr>
        <w:spacing w:after="0" w:line="240" w:lineRule="auto"/>
      </w:pPr>
      <w:r>
        <w:separator/>
      </w:r>
    </w:p>
  </w:footnote>
  <w:footnote w:type="continuationSeparator" w:id="0">
    <w:p w:rsidR="001249DD" w:rsidRDefault="001249DD" w:rsidP="00956F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B7312"/>
    <w:multiLevelType w:val="hybridMultilevel"/>
    <w:tmpl w:val="534E48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672F7B"/>
    <w:multiLevelType w:val="hybridMultilevel"/>
    <w:tmpl w:val="86FCEE4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406160"/>
    <w:multiLevelType w:val="hybridMultilevel"/>
    <w:tmpl w:val="B5841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12495C"/>
    <w:multiLevelType w:val="hybridMultilevel"/>
    <w:tmpl w:val="7040C0DC"/>
    <w:lvl w:ilvl="0" w:tplc="ABE27204">
      <w:start w:val="35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6A53F0"/>
    <w:multiLevelType w:val="hybridMultilevel"/>
    <w:tmpl w:val="6ED42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3452E7D"/>
    <w:multiLevelType w:val="hybridMultilevel"/>
    <w:tmpl w:val="6510AA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9874BC"/>
    <w:multiLevelType w:val="hybridMultilevel"/>
    <w:tmpl w:val="E3A274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5C65D8"/>
    <w:multiLevelType w:val="hybridMultilevel"/>
    <w:tmpl w:val="B58410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C52FEA"/>
    <w:multiLevelType w:val="hybridMultilevel"/>
    <w:tmpl w:val="CE8662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B441B7"/>
    <w:multiLevelType w:val="hybridMultilevel"/>
    <w:tmpl w:val="10CEECA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073B88"/>
    <w:multiLevelType w:val="hybridMultilevel"/>
    <w:tmpl w:val="587E4C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6"/>
  </w:num>
  <w:num w:numId="5">
    <w:abstractNumId w:val="2"/>
  </w:num>
  <w:num w:numId="6">
    <w:abstractNumId w:val="7"/>
  </w:num>
  <w:num w:numId="7">
    <w:abstractNumId w:val="1"/>
  </w:num>
  <w:num w:numId="8">
    <w:abstractNumId w:val="8"/>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31C"/>
    <w:rsid w:val="000A7A25"/>
    <w:rsid w:val="001249DD"/>
    <w:rsid w:val="00147A70"/>
    <w:rsid w:val="0018656E"/>
    <w:rsid w:val="001B43C0"/>
    <w:rsid w:val="0021581E"/>
    <w:rsid w:val="00227AEB"/>
    <w:rsid w:val="002325E3"/>
    <w:rsid w:val="002B0466"/>
    <w:rsid w:val="0034201F"/>
    <w:rsid w:val="0039009F"/>
    <w:rsid w:val="0049392D"/>
    <w:rsid w:val="004A600D"/>
    <w:rsid w:val="004F627B"/>
    <w:rsid w:val="00572B4B"/>
    <w:rsid w:val="005F705C"/>
    <w:rsid w:val="006D15FD"/>
    <w:rsid w:val="006F26C3"/>
    <w:rsid w:val="00764406"/>
    <w:rsid w:val="007B43CC"/>
    <w:rsid w:val="007D22A9"/>
    <w:rsid w:val="007F3887"/>
    <w:rsid w:val="0081034A"/>
    <w:rsid w:val="00814A15"/>
    <w:rsid w:val="0083694D"/>
    <w:rsid w:val="00887AD8"/>
    <w:rsid w:val="008B1F29"/>
    <w:rsid w:val="00935A83"/>
    <w:rsid w:val="00956F68"/>
    <w:rsid w:val="009D0236"/>
    <w:rsid w:val="00A8365B"/>
    <w:rsid w:val="00AE76BE"/>
    <w:rsid w:val="00B502C0"/>
    <w:rsid w:val="00B5781C"/>
    <w:rsid w:val="00B86DC0"/>
    <w:rsid w:val="00BA331C"/>
    <w:rsid w:val="00CB0222"/>
    <w:rsid w:val="00CD09E6"/>
    <w:rsid w:val="00CD1489"/>
    <w:rsid w:val="00CE39D0"/>
    <w:rsid w:val="00D71F89"/>
    <w:rsid w:val="00D90AB3"/>
    <w:rsid w:val="00DA4732"/>
    <w:rsid w:val="00DA514B"/>
    <w:rsid w:val="00DA61D8"/>
    <w:rsid w:val="00DD5488"/>
    <w:rsid w:val="00E748DD"/>
    <w:rsid w:val="00E95FFC"/>
    <w:rsid w:val="00FC68A8"/>
    <w:rsid w:val="00FE4B58"/>
    <w:rsid w:val="00FF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9FC2C-153F-41A8-9A63-7E17B006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A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02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56F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6F68"/>
  </w:style>
  <w:style w:type="paragraph" w:styleId="a6">
    <w:name w:val="footer"/>
    <w:basedOn w:val="a"/>
    <w:link w:val="a7"/>
    <w:uiPriority w:val="99"/>
    <w:unhideWhenUsed/>
    <w:rsid w:val="00956F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6F68"/>
  </w:style>
  <w:style w:type="paragraph" w:styleId="a8">
    <w:name w:val="List Paragraph"/>
    <w:basedOn w:val="a"/>
    <w:uiPriority w:val="34"/>
    <w:qFormat/>
    <w:rsid w:val="00E748DD"/>
    <w:pPr>
      <w:ind w:left="720"/>
      <w:contextualSpacing/>
    </w:pPr>
  </w:style>
  <w:style w:type="paragraph" w:styleId="a9">
    <w:name w:val="Balloon Text"/>
    <w:basedOn w:val="a"/>
    <w:link w:val="aa"/>
    <w:uiPriority w:val="99"/>
    <w:semiHidden/>
    <w:unhideWhenUsed/>
    <w:rsid w:val="00FE4B5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E4B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A0C5B-08AE-4F8E-A057-66F34E35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991</Words>
  <Characters>5748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FiscCojusna</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Olesea</dc:creator>
  <cp:lastModifiedBy>Svetlana Fulga</cp:lastModifiedBy>
  <cp:revision>6</cp:revision>
  <cp:lastPrinted>2019-12-03T10:33:00Z</cp:lastPrinted>
  <dcterms:created xsi:type="dcterms:W3CDTF">2019-12-02T11:46:00Z</dcterms:created>
  <dcterms:modified xsi:type="dcterms:W3CDTF">2019-12-03T11:16:00Z</dcterms:modified>
</cp:coreProperties>
</file>